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24C2B">
      <w:pPr>
        <w:rPr>
          <w:rFonts w:hint="eastAsia" w:ascii="黑体" w:hAnsi="黑体" w:eastAsia="黑体" w:cs="黑体"/>
          <w:b/>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Cs/>
          <w:sz w:val="32"/>
          <w:szCs w:val="32"/>
          <w:highlight w:val="none"/>
          <w:lang w:val="en-US" w:eastAsia="zh-CN"/>
        </w:rPr>
        <w:t>1</w:t>
      </w:r>
    </w:p>
    <w:p w14:paraId="3CE9922C">
      <w:pPr>
        <w:jc w:val="center"/>
        <w:rPr>
          <w:rFonts w:ascii="方正小标宋简体" w:eastAsia="方正小标宋简体"/>
          <w:bCs/>
          <w:sz w:val="44"/>
          <w:szCs w:val="44"/>
          <w:highlight w:val="none"/>
        </w:rPr>
      </w:pPr>
    </w:p>
    <w:p w14:paraId="20E418E4">
      <w:pPr>
        <w:pStyle w:val="7"/>
        <w:spacing w:before="0" w:beforeAutospacing="0" w:after="0" w:afterAutospacing="0" w:line="600" w:lineRule="exact"/>
        <w:jc w:val="center"/>
        <w:outlineLvl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2026年山西省基础研究计划联合资助项目</w:t>
      </w:r>
    </w:p>
    <w:p w14:paraId="2AB881D7">
      <w:pPr>
        <w:pStyle w:val="7"/>
        <w:spacing w:before="0" w:beforeAutospacing="0" w:after="0" w:afterAutospacing="0" w:line="600" w:lineRule="exact"/>
        <w:jc w:val="center"/>
        <w:outlineLvl w:val="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highlight w:val="none"/>
          <w:lang w:val="en-US" w:eastAsia="zh-CN"/>
        </w:rPr>
        <w:t>太重</w:t>
      </w:r>
      <w:r>
        <w:rPr>
          <w:rFonts w:hint="eastAsia" w:ascii="方正小标宋简体" w:hAnsi="方正小标宋简体" w:eastAsia="方正小标宋简体" w:cs="方正小标宋简体"/>
          <w:sz w:val="44"/>
          <w:szCs w:val="44"/>
          <w:highlight w:val="none"/>
        </w:rPr>
        <w:t>）项目需求</w:t>
      </w:r>
    </w:p>
    <w:p w14:paraId="23D8628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1A5C977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408646D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1198677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57D5505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bookmarkStart w:id="2" w:name="_GoBack"/>
      <w:bookmarkEnd w:id="2"/>
    </w:p>
    <w:p w14:paraId="4145303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6BAFA78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289F79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4B730C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53A2A98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2E795B3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256DC20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2BC3DB6B">
      <w:pPr>
        <w:jc w:val="center"/>
        <w:rPr>
          <w:rFonts w:ascii="黑体" w:hAnsi="黑体" w:eastAsia="黑体"/>
          <w:bCs/>
          <w:sz w:val="36"/>
          <w:highlight w:val="none"/>
        </w:rPr>
      </w:pPr>
      <w:r>
        <w:rPr>
          <w:rFonts w:hint="eastAsia" w:ascii="黑体" w:hAnsi="黑体" w:eastAsia="黑体"/>
          <w:bCs/>
          <w:sz w:val="36"/>
          <w:highlight w:val="none"/>
        </w:rPr>
        <w:t>2026年</w:t>
      </w:r>
      <w:r>
        <w:rPr>
          <w:rFonts w:hint="eastAsia" w:ascii="黑体" w:hAnsi="黑体" w:eastAsia="黑体"/>
          <w:bCs/>
          <w:sz w:val="36"/>
          <w:highlight w:val="none"/>
          <w:lang w:val="en-US" w:eastAsia="zh-CN"/>
        </w:rPr>
        <w:t>8</w:t>
      </w:r>
      <w:r>
        <w:rPr>
          <w:rFonts w:hint="eastAsia" w:ascii="黑体" w:hAnsi="黑体" w:eastAsia="黑体"/>
          <w:bCs/>
          <w:sz w:val="36"/>
          <w:highlight w:val="none"/>
        </w:rPr>
        <w:t>月</w:t>
      </w:r>
    </w:p>
    <w:p w14:paraId="45A54F12">
      <w:pPr>
        <w:spacing w:before="100" w:after="200"/>
        <w:jc w:val="center"/>
        <w:rPr>
          <w:rFonts w:ascii="方正小标宋_GBK" w:hAnsi="方正小标宋_GBK" w:eastAsia="方正小标宋_GBK" w:cs="方正小标宋_GBK"/>
          <w:sz w:val="36"/>
          <w:szCs w:val="32"/>
          <w:highlight w:val="none"/>
        </w:rPr>
      </w:pPr>
    </w:p>
    <w:p w14:paraId="298DFE18">
      <w:pPr>
        <w:spacing w:before="100" w:after="200"/>
        <w:jc w:val="center"/>
        <w:rPr>
          <w:rFonts w:ascii="方正小标宋_GBK" w:hAnsi="方正小标宋_GBK" w:eastAsia="方正小标宋_GBK" w:cs="方正小标宋_GBK"/>
          <w:sz w:val="36"/>
          <w:szCs w:val="32"/>
          <w:highlight w:val="none"/>
        </w:rPr>
      </w:pPr>
    </w:p>
    <w:p w14:paraId="05B5D8F9">
      <w:pPr>
        <w:pStyle w:val="6"/>
        <w:tabs>
          <w:tab w:val="right" w:leader="dot" w:pos="8306"/>
        </w:tabs>
        <w:spacing w:before="312" w:beforeLines="100" w:line="960" w:lineRule="auto"/>
        <w:jc w:val="center"/>
        <w:outlineLvl w:val="0"/>
        <w:rPr>
          <w:rFonts w:ascii="方正小标宋简体" w:hAnsi="仿宋_GB2312" w:eastAsia="方正小标宋简体" w:cs="仿宋_GB2312"/>
          <w:szCs w:val="36"/>
          <w:highlight w:val="none"/>
        </w:rPr>
        <w:sectPr>
          <w:pgSz w:w="11906" w:h="16838"/>
          <w:pgMar w:top="2098" w:right="1474" w:bottom="1984" w:left="1587" w:header="720" w:footer="720" w:gutter="0"/>
          <w:pgNumType w:fmt="decimal" w:start="1"/>
          <w:cols w:space="720" w:num="1"/>
          <w:docGrid w:type="lines" w:linePitch="312" w:charSpace="0"/>
        </w:sectPr>
      </w:pPr>
      <w:bookmarkStart w:id="0" w:name="_Toc313896261"/>
    </w:p>
    <w:bookmarkEnd w:id="0"/>
    <w:p w14:paraId="59A920EB">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32"/>
          <w:szCs w:val="32"/>
          <w:highlight w:val="none"/>
        </w:rPr>
      </w:pPr>
      <w:bookmarkStart w:id="1" w:name="_Toc795621961"/>
      <w:r>
        <w:rPr>
          <w:rFonts w:hint="eastAsia" w:ascii="黑体" w:hAnsi="黑体" w:eastAsia="黑体" w:cs="黑体"/>
          <w:sz w:val="32"/>
          <w:szCs w:val="32"/>
          <w:highlight w:val="none"/>
          <w:lang w:eastAsia="zh-CN"/>
        </w:rPr>
        <w:t>重点</w:t>
      </w:r>
      <w:r>
        <w:rPr>
          <w:rFonts w:hint="eastAsia" w:ascii="黑体" w:hAnsi="黑体" w:eastAsia="黑体" w:cs="黑体"/>
          <w:sz w:val="32"/>
          <w:szCs w:val="32"/>
          <w:highlight w:val="none"/>
        </w:rPr>
        <w:t>项目（</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项）</w:t>
      </w:r>
    </w:p>
    <w:p w14:paraId="00AD0E2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highlight w:val="none"/>
        </w:rPr>
      </w:pPr>
    </w:p>
    <w:p w14:paraId="511F2A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1.大型装备结构有限元模型降阶分析技术研究（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61FE2C88">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针对结构件全域结构应力场的监测难题，研究有限元模型降阶分析技术，建立结构有限元模型降阶方法，构建应力场快速预测的数字孪生模型，为大型装备结构件疲劳监测提供技术支撑。</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建立降阶分析处理的有限元模型，节点数≥100万；降阶模型与有限元模型分析结果相比，位移场预测误差≤5%，应力场预测误差≤10%；降阶模型仿真计算更新频率≥1</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Hz，响应时间≤1</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s；生成的降阶模型不依赖任何第三方商业软件和商业库进行独立部署</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申请发明专利2项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登记软件著作权1项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发表高水平论文2篇。</w:t>
      </w:r>
    </w:p>
    <w:p w14:paraId="7E257D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2</w:t>
      </w:r>
      <w:r>
        <w:rPr>
          <w:rFonts w:hint="eastAsia" w:ascii="楷体_GB2312" w:hAnsi="楷体_GB2312" w:eastAsia="楷体_GB2312" w:cs="楷体_GB2312"/>
          <w:b w:val="0"/>
          <w:bCs/>
          <w:sz w:val="32"/>
          <w:szCs w:val="32"/>
          <w:highlight w:val="none"/>
        </w:rPr>
        <w:t>.极细珠光体相变动力学机理及片层间距精确控制技术研究（</w:t>
      </w:r>
      <w:r>
        <w:rPr>
          <w:rFonts w:hint="eastAsia" w:ascii="楷体_GB2312" w:hAnsi="楷体_GB2312" w:eastAsia="楷体_GB2312" w:cs="楷体_GB2312"/>
          <w:b w:val="0"/>
          <w:bCs/>
          <w:sz w:val="32"/>
          <w:szCs w:val="32"/>
          <w:highlight w:val="none"/>
          <w:lang w:val="en-US" w:eastAsia="zh-CN"/>
        </w:rPr>
        <w:t>E01</w:t>
      </w:r>
      <w:r>
        <w:rPr>
          <w:rFonts w:hint="eastAsia" w:ascii="楷体_GB2312" w:hAnsi="楷体_GB2312" w:eastAsia="楷体_GB2312" w:cs="楷体_GB2312"/>
          <w:b w:val="0"/>
          <w:bCs/>
          <w:sz w:val="32"/>
          <w:szCs w:val="32"/>
          <w:highlight w:val="none"/>
        </w:rPr>
        <w:t>）</w:t>
      </w:r>
    </w:p>
    <w:p w14:paraId="344B8440">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辗钢整体车轮或耐磨衬板类产品实现产品组织精准调控，突破极细珠光体片层间距的工业精准控制技术，建立珠光体相变动力学模型，揭示冷却速率、合金元素对片层间距的调控机理，探索合金元素含量对珠光体相变动力学的调控机制，开发低碳微合金化成分体系，实现片层间距的梯度控制，开发智能调控系统，解决工业生产中冷却均匀性难题。</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开发用于辗钢整体车轮或耐磨衬板的低碳微合金化成分体系及智能调控系统一套，实现珠光体片层间距 80±10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nm 精准控制，检测位置深度精确控制在</w:t>
      </w:r>
      <w:r>
        <w:rPr>
          <w:rFonts w:hint="eastAsia" w:ascii="仿宋_GB2312" w:hAnsi="仿宋_GB2312" w:eastAsia="仿宋_GB2312" w:cs="仿宋_GB2312"/>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rPr>
        <w:t>35±1</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mm</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申请发明专利1项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发表高水平论文1篇。</w:t>
      </w:r>
    </w:p>
    <w:p w14:paraId="245849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3</w:t>
      </w:r>
      <w:r>
        <w:rPr>
          <w:rFonts w:hint="eastAsia" w:ascii="楷体_GB2312" w:hAnsi="楷体_GB2312" w:eastAsia="楷体_GB2312" w:cs="楷体_GB2312"/>
          <w:b w:val="0"/>
          <w:bCs/>
          <w:sz w:val="32"/>
          <w:szCs w:val="32"/>
          <w:highlight w:val="none"/>
        </w:rPr>
        <w:t>.汽车起重机电液系统动态与结构应变全域孪生技术研究（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0F4D524A">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汽车起重机电液系统孪生体难以在元件参数飘移时准确预测系统动态、电液系统与结构应变孪生体相互割裂孪生体速度低于实时等问题，突破电液系统机理与数据混合建模方法，构建电液系统动态与结构应变的一体化孪生预测平台。</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建立汽车起重机上车电液系统动态与结构应变的一体化孪生平台1套，电液系统孪生模型支持实时或超实时模拟，仿真速度不低于真实时间的1.2倍；设备连续运行过程中，流量/压力预测精度≥95%；平台支持真实控制信号驱动的液压系统（流量/压力）与关键结构件边界条件、应变的孪生预测，应变场预测误差≤10%</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申请发明专利1～2项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登记软件著作权2～3项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发表高水平论文2～3篇。</w:t>
      </w:r>
    </w:p>
    <w:p w14:paraId="28091D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4</w:t>
      </w:r>
      <w:r>
        <w:rPr>
          <w:rFonts w:hint="eastAsia" w:ascii="楷体_GB2312" w:hAnsi="楷体_GB2312" w:eastAsia="楷体_GB2312" w:cs="楷体_GB2312"/>
          <w:b w:val="0"/>
          <w:bCs/>
          <w:sz w:val="32"/>
          <w:szCs w:val="32"/>
          <w:highlight w:val="none"/>
        </w:rPr>
        <w:t>.600</w:t>
      </w:r>
      <w:r>
        <w:rPr>
          <w:rFonts w:hint="eastAsia" w:ascii="仿宋_GB2312" w:hAnsi="仿宋_GB2312" w:eastAsia="仿宋_GB2312" w:cs="仿宋_GB2312"/>
          <w:sz w:val="32"/>
          <w:szCs w:val="32"/>
          <w:highlight w:val="none"/>
        </w:rPr>
        <w:t xml:space="preserve"> </w:t>
      </w:r>
      <w:r>
        <w:rPr>
          <w:rFonts w:hint="eastAsia" w:ascii="楷体_GB2312" w:hAnsi="楷体_GB2312" w:eastAsia="楷体_GB2312" w:cs="楷体_GB2312"/>
          <w:b w:val="0"/>
          <w:bCs/>
          <w:sz w:val="32"/>
          <w:szCs w:val="32"/>
          <w:highlight w:val="none"/>
        </w:rPr>
        <w:t>MW发电机转子回火过程碳化物梯度演化规律及其对锻件韧性的调控技术研究（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1</w:t>
      </w:r>
      <w:r>
        <w:rPr>
          <w:rFonts w:hint="eastAsia" w:ascii="楷体_GB2312" w:hAnsi="楷体_GB2312" w:eastAsia="楷体_GB2312" w:cs="楷体_GB2312"/>
          <w:b w:val="0"/>
          <w:bCs/>
          <w:sz w:val="32"/>
          <w:szCs w:val="32"/>
          <w:highlight w:val="none"/>
        </w:rPr>
        <w:t>）</w:t>
      </w:r>
    </w:p>
    <w:p w14:paraId="6F3D0A7D">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针对25Cr</w:t>
      </w:r>
      <w:r>
        <w:rPr>
          <w:rFonts w:hint="eastAsia" w:ascii="仿宋_GB2312" w:hAnsi="仿宋_GB2312" w:eastAsia="仿宋_GB2312" w:cs="仿宋_GB2312"/>
          <w:kern w:val="0"/>
          <w:sz w:val="32"/>
          <w:szCs w:val="32"/>
          <w:highlight w:val="none"/>
          <w:vertAlign w:val="subscript"/>
        </w:rPr>
        <w:t>2</w:t>
      </w:r>
      <w:r>
        <w:rPr>
          <w:rFonts w:hint="eastAsia" w:ascii="仿宋_GB2312" w:hAnsi="仿宋_GB2312" w:eastAsia="仿宋_GB2312" w:cs="仿宋_GB2312"/>
          <w:kern w:val="0"/>
          <w:sz w:val="32"/>
          <w:szCs w:val="32"/>
          <w:highlight w:val="none"/>
        </w:rPr>
        <w:t>Ni</w:t>
      </w:r>
      <w:r>
        <w:rPr>
          <w:rFonts w:hint="eastAsia" w:ascii="仿宋_GB2312" w:hAnsi="仿宋_GB2312" w:eastAsia="仿宋_GB2312" w:cs="仿宋_GB2312"/>
          <w:kern w:val="0"/>
          <w:sz w:val="32"/>
          <w:szCs w:val="32"/>
          <w:highlight w:val="none"/>
          <w:vertAlign w:val="subscript"/>
        </w:rPr>
        <w:t>4</w:t>
      </w:r>
      <w:r>
        <w:rPr>
          <w:rFonts w:hint="eastAsia" w:ascii="仿宋_GB2312" w:hAnsi="仿宋_GB2312" w:eastAsia="仿宋_GB2312" w:cs="仿宋_GB2312"/>
          <w:kern w:val="0"/>
          <w:sz w:val="32"/>
          <w:szCs w:val="32"/>
          <w:highlight w:val="none"/>
        </w:rPr>
        <w:t>MoV汽轮机发电机转子全截面韧性性能波动，突破大截面转子回火过程碳化物梯度演化动力学模型、局部组织-韧性本构关系、锻件整体韧性跨尺度预测技术，建立“回火工艺-径向温度场-碳化物梯度演化-局部韧性-宏观整体韧性”的全链条定量关系。</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表面、心部处的碳化物尺寸、密度误差≤15%；建立晶界碳化物连续度、晶内碳化物间距、晶粒尺寸与局部韧性的定量关联方程；转子芯部轴向FATT≤-18</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℃，室温冲击功≥50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J；完成≥2件600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MW发电机转子产品的示范应用</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申请发明专利3项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发表高水平论文2篇。</w:t>
      </w:r>
    </w:p>
    <w:p w14:paraId="5C00EF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rPr>
      </w:pPr>
    </w:p>
    <w:p w14:paraId="444514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一般项目（</w:t>
      </w:r>
      <w:r>
        <w:rPr>
          <w:rFonts w:hint="eastAsia" w:ascii="黑体" w:hAnsi="黑体" w:eastAsia="黑体" w:cs="黑体"/>
          <w:sz w:val="32"/>
          <w:szCs w:val="32"/>
          <w:highlight w:val="none"/>
          <w:lang w:val="en-US" w:eastAsia="zh-CN"/>
        </w:rPr>
        <w:t>10</w:t>
      </w:r>
      <w:r>
        <w:rPr>
          <w:rFonts w:hint="eastAsia" w:ascii="黑体" w:hAnsi="黑体" w:eastAsia="黑体" w:cs="黑体"/>
          <w:sz w:val="32"/>
          <w:szCs w:val="32"/>
          <w:highlight w:val="none"/>
          <w:lang w:eastAsia="zh-CN"/>
        </w:rPr>
        <w:t>项）</w:t>
      </w:r>
    </w:p>
    <w:p w14:paraId="0FA7A5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p>
    <w:bookmarkEnd w:id="1"/>
    <w:p w14:paraId="3FB053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.5米碎煤加压气化炉炉篦布气机理及关键结构使用寿命研究（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08F16E5D">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5米碎煤加压气化炉炉篦在布气效果、高温重载结构、运行阻力及寿命方面缺乏系统解决方案与量化计算难题，开展炉篦布气机理与结构设计、高温重载可靠性与阻力关联规律、关键部件寿命预测等技术基础研究，明确对应量化关系，建立预测仿真模型。</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完成适配 450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℃满料层工况的5米炉篦整体构形设计；建立布气通道与气化剂分布对应关系，气化剂反应分布模型 100% 覆盖氧化层；形成炉篦承载与传动2个以上关键部件疲劳分析模型与寿命预测流程；完成炉篦强度分析校核，开发阻力、扭矩算法程序</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申请发明专利1项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发表高水平论文3篇。</w:t>
      </w:r>
    </w:p>
    <w:p w14:paraId="12B37B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6</w:t>
      </w:r>
      <w:r>
        <w:rPr>
          <w:rFonts w:hint="eastAsia" w:ascii="楷体_GB2312" w:hAnsi="楷体_GB2312" w:eastAsia="楷体_GB2312" w:cs="楷体_GB2312"/>
          <w:b w:val="0"/>
          <w:bCs/>
          <w:sz w:val="32"/>
          <w:szCs w:val="32"/>
          <w:highlight w:val="none"/>
        </w:rPr>
        <w:t>.矿用电铲多轴耦合运动机理与主动防碰撞技术研究（</w:t>
      </w:r>
      <w:r>
        <w:rPr>
          <w:rFonts w:hint="eastAsia" w:ascii="楷体_GB2312" w:hAnsi="楷体_GB2312" w:eastAsia="楷体_GB2312" w:cs="楷体_GB2312"/>
          <w:b w:val="0"/>
          <w:bCs/>
          <w:sz w:val="32"/>
          <w:szCs w:val="32"/>
          <w:highlight w:val="none"/>
          <w:lang w:val="en-US" w:eastAsia="zh-CN"/>
        </w:rPr>
        <w:t>F</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3</w:t>
      </w:r>
      <w:r>
        <w:rPr>
          <w:rFonts w:hint="eastAsia" w:ascii="楷体_GB2312" w:hAnsi="楷体_GB2312" w:eastAsia="楷体_GB2312" w:cs="楷体_GB2312"/>
          <w:b w:val="0"/>
          <w:bCs/>
          <w:sz w:val="32"/>
          <w:szCs w:val="32"/>
          <w:highlight w:val="none"/>
        </w:rPr>
        <w:t>）</w:t>
      </w:r>
    </w:p>
    <w:p w14:paraId="69AD62B3">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矿用电铲内部结构之间及其与履带结构的碰撞干涉问题，研究工作装置多轴联动过程的空间运动机理，构建电铲多轴耦合高精度动态模型。提出面向作业全过程的碰撞预测控制方法，实现潜在干涉的提前识别与判定，从而有效避免作业过程中的碰撞事故。</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基于多轴耦合运动机理建立电铲相对空间模型，定位精度误差≤10</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kern w:val="0"/>
          <w:sz w:val="32"/>
          <w:szCs w:val="32"/>
          <w:highlight w:val="none"/>
        </w:rPr>
        <w:t>cm；开发主动防碰撞控制策略，确保正常作业过程中无碰撞事故发生</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并且配置该功能后，电铲可在保证作业安全性的同时维持</w:t>
      </w:r>
      <w:r>
        <w:rPr>
          <w:rFonts w:hint="eastAsia" w:ascii="仿宋_GB2312" w:hAnsi="仿宋_GB2312" w:eastAsia="仿宋_GB2312" w:cs="仿宋_GB2312"/>
          <w:kern w:val="0"/>
          <w:sz w:val="32"/>
          <w:szCs w:val="32"/>
          <w:highlight w:val="none"/>
          <w:u w:val="single" w:color="FF0000"/>
        </w:rPr>
        <w:t>100%的</w:t>
      </w:r>
      <w:r>
        <w:rPr>
          <w:rFonts w:hint="eastAsia" w:ascii="仿宋_GB2312" w:hAnsi="仿宋_GB2312" w:eastAsia="仿宋_GB2312" w:cs="仿宋_GB2312"/>
          <w:kern w:val="0"/>
          <w:sz w:val="32"/>
          <w:szCs w:val="32"/>
          <w:highlight w:val="none"/>
        </w:rPr>
        <w:t>工作效率</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申请发明专利1项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发表高水平论文1篇。</w:t>
      </w:r>
    </w:p>
    <w:p w14:paraId="078F5A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7</w:t>
      </w:r>
      <w:r>
        <w:rPr>
          <w:rFonts w:hint="eastAsia" w:ascii="楷体_GB2312" w:hAnsi="楷体_GB2312" w:eastAsia="楷体_GB2312" w:cs="楷体_GB2312"/>
          <w:b w:val="0"/>
          <w:bCs/>
          <w:sz w:val="32"/>
          <w:szCs w:val="32"/>
          <w:highlight w:val="none"/>
        </w:rPr>
        <w:t>.纯电驱装载机高能效分布式泵控系统关键技术研究（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2BEF72DA">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针对装载机液压系统节流损失大、重力势能无法高效回收及多执行器复合作业能量损耗高等问题，研究闭式非对称泵控液压缸构型与流量自平衡机理，揭示三油口配流面积与液压缸面积比匹配规律，实现重力势能直接回收与再利用；研究高能效分布式动力源驱动装载机系统集成与协同控制方法，揭示转向、举升、转斗间的功率耦合规律，建立多源能量流管理策略，解决复合作业功率协调与动态响应难题。</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液压系统能效提升≥30%（以5吨阀控装载机为基准）；动臂下降势能回收效率≥65%</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系统满足液压缸伸出/缩回流量自平衡，位置跟踪平稳</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完成技术应用不少于1台套</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申请发明专利2～3项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发表高水平论文2～3篇。</w:t>
      </w:r>
    </w:p>
    <w:p w14:paraId="42A0DC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8</w:t>
      </w:r>
      <w:r>
        <w:rPr>
          <w:rFonts w:hint="eastAsia" w:ascii="楷体_GB2312" w:hAnsi="楷体_GB2312" w:eastAsia="楷体_GB2312" w:cs="楷体_GB2312"/>
          <w:b w:val="0"/>
          <w:bCs/>
          <w:sz w:val="32"/>
          <w:szCs w:val="32"/>
          <w:highlight w:val="none"/>
        </w:rPr>
        <w:t>.锻造压机阀控系统智能选型及优化技术研究（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3D0DE5A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kern w:val="0"/>
          <w:sz w:val="32"/>
          <w:szCs w:val="32"/>
          <w:highlight w:val="none"/>
        </w:rPr>
        <w:t>针对当前快锻压机液压系统依赖人工经验设计，效率低、稳定性差的问题，开发一款快锻压机液压系统智能设计软件。软件基于Simulink与AMESim联合仿真，实现一键输出位移、力、冲击等关键性能曲线。依托既有项目数据验证与修正模型，并辅助液压系统改进与PLC程序开发，最终实现降本增效。</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完成一套智能设计软件，内置标准元件库及4～5种预设液压系统；通过仿真输出关键曲线，优化元件选型与管路设计，要求仿真与理论偏差≤3%；结合现场实验数据优化软件</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申请发明专利2项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登记软件著作权1项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发表高水平论文3篇。</w:t>
      </w:r>
    </w:p>
    <w:p w14:paraId="239984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9</w:t>
      </w:r>
      <w:r>
        <w:rPr>
          <w:rFonts w:hint="eastAsia" w:ascii="楷体_GB2312" w:hAnsi="楷体_GB2312" w:eastAsia="楷体_GB2312" w:cs="楷体_GB2312"/>
          <w:b w:val="0"/>
          <w:bCs/>
          <w:sz w:val="32"/>
          <w:szCs w:val="32"/>
          <w:highlight w:val="none"/>
        </w:rPr>
        <w:t>.齿轮箱润滑系统流场与喷射形态预测技术研究（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00CC2D1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kern w:val="0"/>
          <w:sz w:val="32"/>
          <w:szCs w:val="32"/>
          <w:highlight w:val="none"/>
        </w:rPr>
        <w:t>针对传统经验公式和一维网络模型的方法在处理复杂流体系统时预测局限性的问题，结合具体场景对齿轮箱整体流场状态与喷射形态进行CFD仿真技术研究，形成一套适用于工程实际的仿真方法。</w:t>
      </w:r>
      <w:r>
        <w:rPr>
          <w:rFonts w:hint="eastAsia" w:ascii="仿宋_GB2312" w:hAnsi="仿宋_GB2312" w:eastAsia="仿宋_GB2312" w:cs="仿宋_GB2312"/>
          <w:b/>
          <w:bCs/>
          <w:kern w:val="0"/>
          <w:sz w:val="32"/>
          <w:szCs w:val="32"/>
          <w:highlight w:val="none"/>
        </w:rPr>
        <w:t>考核指标</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进行</w:t>
      </w:r>
      <w:r>
        <w:rPr>
          <w:rFonts w:hint="eastAsia" w:ascii="仿宋_GB2312" w:hAnsi="仿宋_GB2312" w:eastAsia="仿宋_GB2312" w:cs="仿宋_GB2312"/>
          <w:kern w:val="0"/>
          <w:sz w:val="32"/>
          <w:szCs w:val="32"/>
          <w:highlight w:val="none"/>
        </w:rPr>
        <w:t>仿真与试验结果对比</w:t>
      </w:r>
      <w:r>
        <w:rPr>
          <w:rFonts w:hint="eastAsia" w:ascii="仿宋_GB2312" w:hAnsi="仿宋_GB2312" w:eastAsia="仿宋_GB2312" w:cs="仿宋_GB2312"/>
          <w:kern w:val="0"/>
          <w:sz w:val="32"/>
          <w:szCs w:val="32"/>
          <w:highlight w:val="none"/>
          <w:lang w:eastAsia="zh-CN"/>
        </w:rPr>
        <w:t>中，（</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油路模拟试验中，喷嘴处流量：①单油泵、单主管路、多个并联支路、无中间泄露的条件下误差≤10%；②补充双油泵、间隙泄露的条件下误差≤20%</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喷嘴喷油试验中，喷射流角度误差≤10%，覆盖区域面积（指定喷嘴出口距离）误差≤20%</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实际回油流量试验，重力自然回油条件下误差≤5%。申请发明专利2项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登记软件著作权1项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发表高水平论文1篇。</w:t>
      </w:r>
    </w:p>
    <w:p w14:paraId="0979F4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10</w:t>
      </w:r>
      <w:r>
        <w:rPr>
          <w:rFonts w:hint="eastAsia" w:ascii="楷体_GB2312" w:hAnsi="楷体_GB2312" w:eastAsia="楷体_GB2312" w:cs="楷体_GB2312"/>
          <w:b w:val="0"/>
          <w:bCs/>
          <w:sz w:val="32"/>
          <w:szCs w:val="32"/>
          <w:highlight w:val="none"/>
        </w:rPr>
        <w:t>.面向复杂结构件焊接变形仿真与控制策略技术研究（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7670D94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针对挖掘机动臂焊接变形与残余应力控制难题，开展多层多道焊热-力耦合高精度仿真，结合盲孔法等测试手段，构建仿真与实测对比校准流程，在此基础上，研究工艺参数及反变形、随焊锤击等调控措施，提出复杂焊接构件残余应力与变形优化策略。</w:t>
      </w:r>
      <w:r>
        <w:rPr>
          <w:rFonts w:hint="eastAsia" w:ascii="仿宋_GB2312" w:hAnsi="仿宋_GB2312" w:eastAsia="仿宋_GB2312" w:cs="仿宋_GB2312"/>
          <w:b/>
          <w:bCs w:val="0"/>
          <w:sz w:val="32"/>
          <w:szCs w:val="32"/>
          <w:highlight w:val="none"/>
          <w:lang w:eastAsia="zh-CN"/>
        </w:rPr>
        <w:t>考核指标：</w:t>
      </w:r>
      <w:r>
        <w:rPr>
          <w:rFonts w:hint="eastAsia" w:ascii="仿宋_GB2312" w:hAnsi="仿宋_GB2312" w:eastAsia="仿宋_GB2312" w:cs="仿宋_GB2312"/>
          <w:bCs/>
          <w:sz w:val="32"/>
          <w:szCs w:val="32"/>
          <w:highlight w:val="none"/>
          <w:lang w:eastAsia="zh-CN"/>
        </w:rPr>
        <w:t>建立21吨级挖掘机动臂结构件焊接热</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lang w:eastAsia="zh-CN"/>
        </w:rPr>
        <w:t>力耦合数值模型及程序1套；建立挖掘机动臂焊接残余应力与变形实测数据与仿真结果的对比校准流程，相关预测结果误差≤15%；提交焊接残余应力与变形调控技术文件1套；构建动臂结构件焊接工艺仿真与调控数据库1套。</w:t>
      </w:r>
    </w:p>
    <w:p w14:paraId="7FB260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11</w:t>
      </w:r>
      <w:r>
        <w:rPr>
          <w:rFonts w:hint="eastAsia" w:ascii="楷体_GB2312" w:hAnsi="楷体_GB2312" w:eastAsia="楷体_GB2312" w:cs="楷体_GB2312"/>
          <w:b w:val="0"/>
          <w:bCs/>
          <w:sz w:val="32"/>
          <w:szCs w:val="32"/>
          <w:highlight w:val="none"/>
        </w:rPr>
        <w:t>.工程机械质量管控中的知识图谱构建与根因推理技术研究（</w:t>
      </w:r>
      <w:r>
        <w:rPr>
          <w:rFonts w:hint="eastAsia" w:ascii="楷体_GB2312" w:hAnsi="楷体_GB2312" w:eastAsia="楷体_GB2312" w:cs="楷体_GB2312"/>
          <w:b w:val="0"/>
          <w:bCs/>
          <w:sz w:val="32"/>
          <w:szCs w:val="32"/>
          <w:highlight w:val="none"/>
          <w:lang w:val="en-US" w:eastAsia="zh-CN"/>
        </w:rPr>
        <w:t>F</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6</w:t>
      </w:r>
      <w:r>
        <w:rPr>
          <w:rFonts w:hint="eastAsia" w:ascii="楷体_GB2312" w:hAnsi="楷体_GB2312" w:eastAsia="楷体_GB2312" w:cs="楷体_GB2312"/>
          <w:b w:val="0"/>
          <w:bCs/>
          <w:sz w:val="32"/>
          <w:szCs w:val="32"/>
          <w:highlight w:val="none"/>
        </w:rPr>
        <w:t>）</w:t>
      </w:r>
    </w:p>
    <w:p w14:paraId="4F1D292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针对工程机械批量化生产质量管控中人工依赖强、多因素耦合难识别、知识难沉淀、追溯效率低、根因定位不精准等痛点，研究质量知识图谱构建与知识驱动根因分析核心技术，攻克多源质量知识抽取融合、知识推理、异常传导路径定位、可解释推理等关键难点，构建企业级质量知识底座与智能分析模型，实现质量问题精准溯源、高效处置与经验资产化，支撑生产质量闭环管理。</w:t>
      </w:r>
      <w:r>
        <w:rPr>
          <w:rFonts w:hint="eastAsia" w:ascii="仿宋_GB2312" w:hAnsi="仿宋_GB2312" w:eastAsia="仿宋_GB2312" w:cs="仿宋_GB2312"/>
          <w:b/>
          <w:bCs w:val="0"/>
          <w:sz w:val="32"/>
          <w:szCs w:val="32"/>
          <w:highlight w:val="none"/>
          <w:lang w:eastAsia="zh-CN"/>
        </w:rPr>
        <w:t>考核指标：</w:t>
      </w:r>
      <w:r>
        <w:rPr>
          <w:rFonts w:hint="eastAsia" w:ascii="仿宋_GB2312" w:hAnsi="仿宋_GB2312" w:eastAsia="仿宋_GB2312" w:cs="仿宋_GB2312"/>
          <w:bCs/>
          <w:sz w:val="32"/>
          <w:szCs w:val="32"/>
          <w:highlight w:val="none"/>
          <w:lang w:eastAsia="zh-CN"/>
        </w:rPr>
        <w:t>构建质量知识图谱 1 套；根因定位准确率≥90%，单次分析响应时间≤1分钟；可自动追溯至工序、物料、设备、工艺等源头并输出可解释根因与解决方案；申请发明专利2项；发表高水平论文1篇。</w:t>
      </w:r>
    </w:p>
    <w:p w14:paraId="061D99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12</w:t>
      </w:r>
      <w:r>
        <w:rPr>
          <w:rFonts w:hint="eastAsia" w:ascii="楷体_GB2312" w:hAnsi="楷体_GB2312" w:eastAsia="楷体_GB2312" w:cs="楷体_GB2312"/>
          <w:b w:val="0"/>
          <w:bCs/>
          <w:sz w:val="32"/>
          <w:szCs w:val="32"/>
          <w:highlight w:val="none"/>
        </w:rPr>
        <w:t>.薄壁空心轴过盈配合对制造工艺技术研究（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4F0C750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风电齿轮箱、工业齿轮箱等薄壁空心轴类零件在过盈配合装配后，其装配部位及轴径其它部位极易发生弹性变形，影响其配合关系和齿部精度，由于这种变形会显著改变轴与轴承、齿轮等部件的配合间隙或过盈量，引发微动磨损、配合松动、振动异响等严重故障，开展此项研究，旨在建立薄壁空心轴过盈装配对其轴径及其它部位配合关系影响的精确预测模型。</w:t>
      </w:r>
      <w:r>
        <w:rPr>
          <w:rFonts w:hint="eastAsia" w:ascii="仿宋_GB2312" w:hAnsi="仿宋_GB2312" w:eastAsia="仿宋_GB2312" w:cs="仿宋_GB2312"/>
          <w:b/>
          <w:bCs w:val="0"/>
          <w:sz w:val="32"/>
          <w:szCs w:val="32"/>
          <w:highlight w:val="none"/>
          <w:lang w:eastAsia="zh-CN"/>
        </w:rPr>
        <w:t>考核指标：</w:t>
      </w:r>
      <w:r>
        <w:rPr>
          <w:rFonts w:hint="eastAsia" w:ascii="仿宋_GB2312" w:hAnsi="仿宋_GB2312" w:eastAsia="仿宋_GB2312" w:cs="仿宋_GB2312"/>
          <w:bCs/>
          <w:sz w:val="32"/>
          <w:szCs w:val="32"/>
          <w:highlight w:val="none"/>
          <w:lang w:eastAsia="zh-CN"/>
        </w:rPr>
        <w:t>典型工况下薄壁轴过盈配合变形计算模型一套（42CrMo和QT700-2A）按照过盈量，配合长度，计算其余轴径和齿部精度的变形情况，计算精度≥95%；形成一套耦合过盈变形的齿轮主动修形工艺方法；申请发明专利1项；发表高水平论文1～2篇。</w:t>
      </w:r>
    </w:p>
    <w:p w14:paraId="535ED5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13</w:t>
      </w:r>
      <w:r>
        <w:rPr>
          <w:rFonts w:hint="eastAsia" w:ascii="楷体_GB2312" w:hAnsi="楷体_GB2312" w:eastAsia="楷体_GB2312" w:cs="楷体_GB2312"/>
          <w:b w:val="0"/>
          <w:bCs/>
          <w:sz w:val="32"/>
          <w:szCs w:val="32"/>
          <w:highlight w:val="none"/>
        </w:rPr>
        <w:t>.铸造起重机关键焊接结构疲劳寿命快速计算技术研究（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2C3FC06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针对铸造起重机整机疲劳验算难点，本项目拟研究：焊接残余应力释放规律，建立残余应力与结构变形在高温-重载工况下的退化模型；开发偏轨箱型梁专属梁单元模型，研究其截面及位置修正系数；基于梁单元构建整机疲劳计算模型。</w:t>
      </w:r>
      <w:r>
        <w:rPr>
          <w:rFonts w:hint="eastAsia" w:ascii="仿宋_GB2312" w:hAnsi="仿宋_GB2312" w:eastAsia="仿宋_GB2312" w:cs="仿宋_GB2312"/>
          <w:b/>
          <w:bCs w:val="0"/>
          <w:sz w:val="32"/>
          <w:szCs w:val="32"/>
          <w:highlight w:val="none"/>
          <w:lang w:eastAsia="zh-CN"/>
        </w:rPr>
        <w:t>考核指标：</w:t>
      </w:r>
      <w:r>
        <w:rPr>
          <w:rFonts w:hint="eastAsia" w:ascii="仿宋_GB2312" w:hAnsi="仿宋_GB2312" w:eastAsia="仿宋_GB2312" w:cs="仿宋_GB2312"/>
          <w:bCs/>
          <w:sz w:val="32"/>
          <w:szCs w:val="32"/>
          <w:highlight w:val="none"/>
          <w:lang w:eastAsia="zh-CN"/>
        </w:rPr>
        <w:t>探索Q355、Q235焊接结构在高温-力载荷耦合下的应力释放与变形规律，循环次数≥5后，残余应力预测精度≤10%，变形绝对误差±0.3</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Cs/>
          <w:sz w:val="32"/>
          <w:szCs w:val="32"/>
          <w:highlight w:val="none"/>
          <w:lang w:eastAsia="zh-CN"/>
        </w:rPr>
        <w:t>mm以内；研发专属梁单元，与传统实体单元计算相比疲劳校核范围扩展至整机的同时，精度偏差≤8%，效率提升200%；完成一套疲劳快速验算软件；发表高水平论文SCI/EI</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lang w:eastAsia="zh-CN"/>
        </w:rPr>
        <w:t>2</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lang w:eastAsia="zh-CN"/>
        </w:rPr>
        <w:t>篇。</w:t>
      </w:r>
    </w:p>
    <w:p w14:paraId="489BB2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lang w:val="en-US" w:eastAsia="zh-CN"/>
        </w:rPr>
        <w:t>14</w:t>
      </w:r>
      <w:r>
        <w:rPr>
          <w:rFonts w:hint="eastAsia" w:ascii="楷体_GB2312" w:hAnsi="楷体_GB2312" w:eastAsia="楷体_GB2312" w:cs="楷体_GB2312"/>
          <w:b w:val="0"/>
          <w:bCs/>
          <w:sz w:val="32"/>
          <w:szCs w:val="32"/>
          <w:highlight w:val="none"/>
        </w:rPr>
        <w:t>.行星轮系太阳轴轴向间隙对传动系统啮合特性的影响分析技术研究（</w:t>
      </w:r>
      <w:r>
        <w:rPr>
          <w:rFonts w:hint="eastAsia" w:ascii="楷体_GB2312" w:hAnsi="楷体_GB2312" w:eastAsia="楷体_GB2312" w:cs="楷体_GB2312"/>
          <w:b w:val="0"/>
          <w:bCs/>
          <w:sz w:val="32"/>
          <w:szCs w:val="32"/>
          <w:highlight w:val="none"/>
          <w:lang w:val="en-US" w:eastAsia="zh-CN"/>
        </w:rPr>
        <w:t>E</w:t>
      </w:r>
      <w:r>
        <w:rPr>
          <w:rFonts w:hint="eastAsia" w:ascii="楷体_GB2312" w:hAnsi="楷体_GB2312" w:eastAsia="楷体_GB2312" w:cs="楷体_GB2312"/>
          <w:b w:val="0"/>
          <w:bCs/>
          <w:sz w:val="32"/>
          <w:szCs w:val="32"/>
          <w:highlight w:val="none"/>
        </w:rPr>
        <w:t>0</w:t>
      </w:r>
      <w:r>
        <w:rPr>
          <w:rFonts w:hint="eastAsia" w:ascii="楷体_GB2312" w:hAnsi="楷体_GB2312" w:eastAsia="楷体_GB2312" w:cs="楷体_GB2312"/>
          <w:b w:val="0"/>
          <w:bCs/>
          <w:sz w:val="32"/>
          <w:szCs w:val="32"/>
          <w:highlight w:val="none"/>
          <w:lang w:val="en-US" w:eastAsia="zh-CN"/>
        </w:rPr>
        <w:t>5</w:t>
      </w:r>
      <w:r>
        <w:rPr>
          <w:rFonts w:hint="eastAsia" w:ascii="楷体_GB2312" w:hAnsi="楷体_GB2312" w:eastAsia="楷体_GB2312" w:cs="楷体_GB2312"/>
          <w:b w:val="0"/>
          <w:bCs/>
          <w:sz w:val="32"/>
          <w:szCs w:val="32"/>
          <w:highlight w:val="none"/>
        </w:rPr>
        <w:t>）</w:t>
      </w:r>
    </w:p>
    <w:p w14:paraId="0EF3112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针对低速重载行星轮系太阳轴轴向间隙阈值量化困难问题，研究太阳轴轴向间隙如何转化为齿向的啮合偏移；分析轴向错位引起的齿向接触应力分布变化、啮合刚度非对称性、齿向载荷分布不均系数及系统啮合传递误差波动规律；研究太阳轴轴向间隙在复杂载荷工况下对传动系统动力学特性和行星轮系均载性能的影响；构建一套行星轮系太阳轴轴向间隙阈值分析评估和计算体系。</w:t>
      </w:r>
      <w:r>
        <w:rPr>
          <w:rFonts w:hint="eastAsia" w:ascii="仿宋_GB2312" w:hAnsi="仿宋_GB2312" w:eastAsia="仿宋_GB2312" w:cs="仿宋_GB2312"/>
          <w:b/>
          <w:bCs w:val="0"/>
          <w:sz w:val="32"/>
          <w:szCs w:val="32"/>
          <w:highlight w:val="none"/>
          <w:lang w:eastAsia="zh-CN"/>
        </w:rPr>
        <w:t>考核指标：</w:t>
      </w:r>
      <w:r>
        <w:rPr>
          <w:rFonts w:hint="eastAsia" w:ascii="仿宋_GB2312" w:hAnsi="仿宋_GB2312" w:eastAsia="仿宋_GB2312" w:cs="仿宋_GB2312"/>
          <w:bCs/>
          <w:sz w:val="32"/>
          <w:szCs w:val="32"/>
          <w:highlight w:val="none"/>
          <w:lang w:eastAsia="zh-CN"/>
        </w:rPr>
        <w:t>根据该轴向间隙评估计算体系计算的内外啮合齿向载荷分布系数不超过1.25；行星轮系均载系数不超过1.1（三个行星轮）；系统动力学特性振动加速度不超过7.5</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bCs/>
          <w:sz w:val="32"/>
          <w:szCs w:val="32"/>
          <w:highlight w:val="none"/>
          <w:lang w:eastAsia="zh-CN"/>
        </w:rPr>
        <w:t>m/s</w:t>
      </w:r>
      <w:r>
        <w:rPr>
          <w:rFonts w:hint="eastAsia" w:ascii="仿宋_GB2312" w:hAnsi="仿宋_GB2312" w:eastAsia="仿宋_GB2312" w:cs="仿宋_GB2312"/>
          <w:bCs/>
          <w:sz w:val="32"/>
          <w:szCs w:val="32"/>
          <w:highlight w:val="none"/>
          <w:vertAlign w:val="superscript"/>
          <w:lang w:eastAsia="zh-CN"/>
        </w:rPr>
        <w:t>2</w:t>
      </w:r>
      <w:r>
        <w:rPr>
          <w:rFonts w:hint="eastAsia" w:ascii="仿宋_GB2312" w:hAnsi="仿宋_GB2312" w:eastAsia="仿宋_GB2312" w:cs="仿宋_GB2312"/>
          <w:bCs/>
          <w:sz w:val="32"/>
          <w:szCs w:val="32"/>
          <w:highlight w:val="none"/>
          <w:lang w:eastAsia="zh-CN"/>
        </w:rPr>
        <w:t>；发表高水平论文1篇。</w:t>
      </w:r>
    </w:p>
    <w:sectPr>
      <w:footerReference r:id="rId3" w:type="default"/>
      <w:pgSz w:w="11906" w:h="16838"/>
      <w:pgMar w:top="2098" w:right="1474" w:bottom="1984" w:left="1587" w:header="720" w:footer="147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32E9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B1AF61">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eo2AxAgAAY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wuRZFjZ6&#10;a3mEjvJ4uzwEyNmpHEXplUB34gaz1/VpeCdxuP/cd1FP/4bF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4XqNgMQIAAGMEAAAOAAAAAAAAAAEAIAAAAB8BAABkcnMvZTJvRG9jLnhtbFBLBQYA&#10;AAAABgAGAFkBAADCBQAAAAA=&#10;">
              <v:fill on="f" focussize="0,0"/>
              <v:stroke on="f" weight="0.5pt"/>
              <v:imagedata o:title=""/>
              <o:lock v:ext="edit" aspectratio="f"/>
              <v:textbox inset="0mm,0mm,0mm,0mm" style="mso-fit-shape-to-text:t;">
                <w:txbxContent>
                  <w:p w14:paraId="56B1AF61">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9293"/>
    <w:rsid w:val="00026D43"/>
    <w:rsid w:val="000A7C48"/>
    <w:rsid w:val="000B0471"/>
    <w:rsid w:val="000D7BA8"/>
    <w:rsid w:val="001146BB"/>
    <w:rsid w:val="00150D08"/>
    <w:rsid w:val="00161887"/>
    <w:rsid w:val="001A5DF6"/>
    <w:rsid w:val="001B530F"/>
    <w:rsid w:val="002347E0"/>
    <w:rsid w:val="0023585C"/>
    <w:rsid w:val="002F4B14"/>
    <w:rsid w:val="00313B8A"/>
    <w:rsid w:val="0033496D"/>
    <w:rsid w:val="00353D4A"/>
    <w:rsid w:val="00382019"/>
    <w:rsid w:val="00414322"/>
    <w:rsid w:val="00437C9B"/>
    <w:rsid w:val="004637BE"/>
    <w:rsid w:val="00476E30"/>
    <w:rsid w:val="004C3827"/>
    <w:rsid w:val="0053038C"/>
    <w:rsid w:val="005430F6"/>
    <w:rsid w:val="005A0C4A"/>
    <w:rsid w:val="005B5228"/>
    <w:rsid w:val="005E30E8"/>
    <w:rsid w:val="005E33E3"/>
    <w:rsid w:val="0063046D"/>
    <w:rsid w:val="006A1994"/>
    <w:rsid w:val="006C014F"/>
    <w:rsid w:val="006D0486"/>
    <w:rsid w:val="006F0C6C"/>
    <w:rsid w:val="006F35E4"/>
    <w:rsid w:val="007314A5"/>
    <w:rsid w:val="007A19F3"/>
    <w:rsid w:val="007D2E35"/>
    <w:rsid w:val="00821941"/>
    <w:rsid w:val="00833438"/>
    <w:rsid w:val="008654D5"/>
    <w:rsid w:val="008A1AC6"/>
    <w:rsid w:val="008E0536"/>
    <w:rsid w:val="009A76E6"/>
    <w:rsid w:val="009D19D5"/>
    <w:rsid w:val="00A30458"/>
    <w:rsid w:val="00A56FC2"/>
    <w:rsid w:val="00AB2C0D"/>
    <w:rsid w:val="00B1110C"/>
    <w:rsid w:val="00B43B50"/>
    <w:rsid w:val="00B660EB"/>
    <w:rsid w:val="00BB41BA"/>
    <w:rsid w:val="00C000B9"/>
    <w:rsid w:val="00C257A9"/>
    <w:rsid w:val="00C33CD1"/>
    <w:rsid w:val="00C42C0B"/>
    <w:rsid w:val="00C53906"/>
    <w:rsid w:val="00C771BF"/>
    <w:rsid w:val="00C8141C"/>
    <w:rsid w:val="00CE7D72"/>
    <w:rsid w:val="00D04B2C"/>
    <w:rsid w:val="00D822C2"/>
    <w:rsid w:val="00DB074F"/>
    <w:rsid w:val="00E21FC8"/>
    <w:rsid w:val="00EE424F"/>
    <w:rsid w:val="00EF60BF"/>
    <w:rsid w:val="00F32897"/>
    <w:rsid w:val="00FC3F6B"/>
    <w:rsid w:val="00FF044F"/>
    <w:rsid w:val="00FF585C"/>
    <w:rsid w:val="01DB4AB0"/>
    <w:rsid w:val="05F31F5D"/>
    <w:rsid w:val="0A34384D"/>
    <w:rsid w:val="0B2629C3"/>
    <w:rsid w:val="0C04757A"/>
    <w:rsid w:val="0EE866DC"/>
    <w:rsid w:val="1B8C08A9"/>
    <w:rsid w:val="26DF799A"/>
    <w:rsid w:val="2BF9F69A"/>
    <w:rsid w:val="2CDD3415"/>
    <w:rsid w:val="306A13CE"/>
    <w:rsid w:val="3712713B"/>
    <w:rsid w:val="37ECF79C"/>
    <w:rsid w:val="399B41CF"/>
    <w:rsid w:val="3D4E4CA4"/>
    <w:rsid w:val="3FDBC7EE"/>
    <w:rsid w:val="46682113"/>
    <w:rsid w:val="47396429"/>
    <w:rsid w:val="4D0D36C2"/>
    <w:rsid w:val="4E763BD9"/>
    <w:rsid w:val="500A74BA"/>
    <w:rsid w:val="519A324E"/>
    <w:rsid w:val="5D7E3E62"/>
    <w:rsid w:val="624F5980"/>
    <w:rsid w:val="630666EA"/>
    <w:rsid w:val="64F85D90"/>
    <w:rsid w:val="69344C1E"/>
    <w:rsid w:val="699A7177"/>
    <w:rsid w:val="6E61725D"/>
    <w:rsid w:val="6F1069B9"/>
    <w:rsid w:val="70223A22"/>
    <w:rsid w:val="72FF82B0"/>
    <w:rsid w:val="77DFC54B"/>
    <w:rsid w:val="799FD39A"/>
    <w:rsid w:val="7CAF041E"/>
    <w:rsid w:val="7D862945"/>
    <w:rsid w:val="7DFB63A9"/>
    <w:rsid w:val="7DFF9293"/>
    <w:rsid w:val="7EF5E6AB"/>
    <w:rsid w:val="7F5760ED"/>
    <w:rsid w:val="7FF65B07"/>
    <w:rsid w:val="9FDBE1DF"/>
    <w:rsid w:val="BA6DE477"/>
    <w:rsid w:val="BD443E4C"/>
    <w:rsid w:val="BEBBED84"/>
    <w:rsid w:val="C7FBB803"/>
    <w:rsid w:val="CFD7B82B"/>
    <w:rsid w:val="DDBF4ED3"/>
    <w:rsid w:val="E5FF0F9C"/>
    <w:rsid w:val="EC7B7EE4"/>
    <w:rsid w:val="F5B7CB88"/>
    <w:rsid w:val="F65C2853"/>
    <w:rsid w:val="F77CE6D0"/>
    <w:rsid w:val="F973B919"/>
    <w:rsid w:val="F9BC20C5"/>
    <w:rsid w:val="FF7F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style>
  <w:style w:type="paragraph" w:styleId="7">
    <w:name w:val="Normal (Web)"/>
    <w:basedOn w:val="1"/>
    <w:unhideWhenUsed/>
    <w:qFormat/>
    <w:uiPriority w:val="0"/>
    <w:pPr>
      <w:widowControl/>
      <w:suppressAutoHyphens w:val="0"/>
      <w:spacing w:before="100" w:beforeAutospacing="1" w:after="100" w:afterAutospacing="1"/>
      <w:jc w:val="left"/>
    </w:pPr>
    <w:rPr>
      <w:rFonts w:ascii="宋体" w:hAnsi="宋体" w:cs="宋体"/>
      <w:kern w:val="0"/>
      <w:sz w:val="24"/>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彩色列表 - 强调文字颜色 11"/>
    <w:basedOn w:val="1"/>
    <w:qFormat/>
    <w:uiPriority w:val="34"/>
    <w:pPr>
      <w:ind w:firstLine="420" w:firstLineChars="200"/>
    </w:pPr>
    <w:rPr>
      <w:rFonts w:cs="宋体"/>
      <w:szCs w:val="22"/>
    </w:rPr>
  </w:style>
  <w:style w:type="character" w:customStyle="1" w:styleId="12">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C9C47-FC2C-41D5-B583-9A7C7E3325F8}">
  <ds:schemaRefs/>
</ds:datastoreItem>
</file>

<file path=docProps/app.xml><?xml version="1.0" encoding="utf-8"?>
<Properties xmlns="http://schemas.openxmlformats.org/officeDocument/2006/extended-properties" xmlns:vt="http://schemas.openxmlformats.org/officeDocument/2006/docPropsVTypes">
  <Template>Normal.dotm</Template>
  <Pages>9</Pages>
  <Words>3954</Words>
  <Characters>4140</Characters>
  <Lines>14</Lines>
  <Paragraphs>4</Paragraphs>
  <TotalTime>8</TotalTime>
  <ScaleCrop>false</ScaleCrop>
  <LinksUpToDate>false</LinksUpToDate>
  <CharactersWithSpaces>4162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2025-04-18T10:32:00Z</dcterms:created>
  <dc:creator>闫慧芳:拟稿人</dc:creator>
  <cp:lastModifiedBy>丁国平</cp:lastModifiedBy>
  <cp:lastPrinted>2026-08-10T14:12:52Z</cp:lastPrinted>
  <dcterms:modified xsi:type="dcterms:W3CDTF">2026-08-10T14:12:59Z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D2C4F7A583684764B50C2791A9BEEC31_13</vt:lpwstr>
  </property>
  <property fmtid="{D5CDD505-2E9C-101B-9397-08002B2CF9AE}" pid="3" name="KSOProductBuildVer">
    <vt:lpwstr>2052-12.1.2.24730</vt:lpwstr>
  </property>
  <property fmtid="{D5CDD505-2E9C-101B-9397-08002B2CF9AE}" pid="4" name="KSOTemplateDocerSaveRecord">
    <vt:lpwstr>eyJoZGlkIjoiZWYxZDE0NDc0ZTkzMjZmZDI4ODZmMDI0MmI3NjRjNWIiLCJ1c2VySWQiOiIyMDYyODY4OTQifQ==</vt:lpwstr>
  </property>
</Properties>
</file>