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9EBBE">
      <w:pPr>
        <w:rPr>
          <w:rFonts w:hint="eastAsia" w:ascii="黑体" w:hAnsi="黑体" w:eastAsia="黑体" w:cs="黑体"/>
          <w:b/>
          <w:sz w:val="32"/>
          <w:szCs w:val="32"/>
          <w:highlight w:val="none"/>
          <w:lang w:val="en-US" w:eastAsia="zh-CN"/>
        </w:rPr>
      </w:pPr>
      <w:r>
        <w:rPr>
          <w:rFonts w:hint="eastAsia" w:ascii="黑体" w:hAnsi="黑体" w:eastAsia="黑体" w:cs="黑体"/>
          <w:bCs/>
          <w:sz w:val="32"/>
          <w:szCs w:val="32"/>
          <w:highlight w:val="none"/>
        </w:rPr>
        <w:t>附件</w:t>
      </w:r>
      <w:r>
        <w:rPr>
          <w:rFonts w:hint="eastAsia" w:ascii="黑体" w:hAnsi="黑体" w:eastAsia="黑体" w:cs="黑体"/>
          <w:bCs/>
          <w:sz w:val="32"/>
          <w:szCs w:val="32"/>
          <w:highlight w:val="none"/>
          <w:lang w:val="en-US" w:eastAsia="zh-CN"/>
        </w:rPr>
        <w:t>6</w:t>
      </w:r>
      <w:bookmarkStart w:id="2" w:name="_GoBack"/>
      <w:bookmarkEnd w:id="2"/>
    </w:p>
    <w:p w14:paraId="0A49DD67">
      <w:pPr>
        <w:jc w:val="center"/>
        <w:rPr>
          <w:rFonts w:ascii="方正小标宋简体" w:eastAsia="方正小标宋简体"/>
          <w:bCs/>
          <w:sz w:val="44"/>
          <w:szCs w:val="44"/>
          <w:highlight w:val="none"/>
        </w:rPr>
      </w:pPr>
    </w:p>
    <w:p w14:paraId="2144CBCB">
      <w:pPr>
        <w:pStyle w:val="7"/>
        <w:spacing w:before="0" w:beforeAutospacing="0" w:after="0" w:afterAutospacing="0" w:line="600" w:lineRule="exact"/>
        <w:jc w:val="center"/>
        <w:outlineLvl w:val="0"/>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2026年山西省基础研究计划联合资助项目</w:t>
      </w:r>
    </w:p>
    <w:p w14:paraId="26587FC0">
      <w:pPr>
        <w:pStyle w:val="7"/>
        <w:spacing w:before="0" w:beforeAutospacing="0" w:after="0" w:afterAutospacing="0" w:line="600" w:lineRule="exact"/>
        <w:jc w:val="center"/>
        <w:outlineLvl w:val="0"/>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highlight w:val="none"/>
          <w:lang w:val="en-US" w:eastAsia="zh-CN"/>
        </w:rPr>
        <w:t>煤与煤层气共采全国重点实验室</w:t>
      </w:r>
      <w:r>
        <w:rPr>
          <w:rFonts w:hint="eastAsia" w:ascii="方正小标宋简体" w:hAnsi="方正小标宋简体" w:eastAsia="方正小标宋简体" w:cs="方正小标宋简体"/>
          <w:sz w:val="44"/>
          <w:szCs w:val="44"/>
          <w:highlight w:val="none"/>
        </w:rPr>
        <w:t>）项目需求</w:t>
      </w:r>
    </w:p>
    <w:p w14:paraId="6BEF4E2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7C8F90B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18297B9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10F247F2">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2521767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sz w:val="32"/>
          <w:szCs w:val="32"/>
          <w:highlight w:val="none"/>
        </w:rPr>
      </w:pPr>
    </w:p>
    <w:p w14:paraId="7036C13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09AF70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38D18AE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783429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highlight w:val="none"/>
        </w:rPr>
      </w:pPr>
    </w:p>
    <w:p w14:paraId="3EF4834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3B0D005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4E9E1E6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_GB2312" w:hAnsi="仿宋_GB2312" w:eastAsia="仿宋_GB2312" w:cs="仿宋_GB2312"/>
          <w:b/>
          <w:bCs/>
          <w:sz w:val="32"/>
          <w:szCs w:val="32"/>
          <w:highlight w:val="none"/>
        </w:rPr>
      </w:pPr>
    </w:p>
    <w:p w14:paraId="324C4840">
      <w:pPr>
        <w:jc w:val="center"/>
        <w:rPr>
          <w:rFonts w:ascii="黑体" w:hAnsi="黑体" w:eastAsia="黑体"/>
          <w:bCs/>
          <w:sz w:val="36"/>
          <w:highlight w:val="none"/>
        </w:rPr>
      </w:pPr>
      <w:r>
        <w:rPr>
          <w:rFonts w:hint="eastAsia" w:ascii="黑体" w:hAnsi="黑体" w:eastAsia="黑体"/>
          <w:bCs/>
          <w:sz w:val="36"/>
          <w:highlight w:val="none"/>
        </w:rPr>
        <w:t>2026年</w:t>
      </w:r>
      <w:r>
        <w:rPr>
          <w:rFonts w:hint="eastAsia" w:ascii="黑体" w:hAnsi="黑体" w:eastAsia="黑体"/>
          <w:bCs/>
          <w:sz w:val="36"/>
          <w:highlight w:val="none"/>
          <w:lang w:val="en-US" w:eastAsia="zh-CN"/>
        </w:rPr>
        <w:t>8</w:t>
      </w:r>
      <w:r>
        <w:rPr>
          <w:rFonts w:hint="eastAsia" w:ascii="黑体" w:hAnsi="黑体" w:eastAsia="黑体"/>
          <w:bCs/>
          <w:sz w:val="36"/>
          <w:highlight w:val="none"/>
        </w:rPr>
        <w:t>月</w:t>
      </w:r>
    </w:p>
    <w:p w14:paraId="1885FC8B">
      <w:pPr>
        <w:spacing w:before="100" w:after="200"/>
        <w:jc w:val="center"/>
        <w:rPr>
          <w:rFonts w:ascii="方正小标宋_GBK" w:hAnsi="方正小标宋_GBK" w:eastAsia="方正小标宋_GBK" w:cs="方正小标宋_GBK"/>
          <w:sz w:val="36"/>
          <w:szCs w:val="32"/>
          <w:highlight w:val="none"/>
        </w:rPr>
      </w:pPr>
    </w:p>
    <w:p w14:paraId="74EA30AD">
      <w:pPr>
        <w:spacing w:before="100" w:after="200"/>
        <w:jc w:val="center"/>
        <w:rPr>
          <w:rFonts w:ascii="方正小标宋_GBK" w:hAnsi="方正小标宋_GBK" w:eastAsia="方正小标宋_GBK" w:cs="方正小标宋_GBK"/>
          <w:sz w:val="36"/>
          <w:szCs w:val="32"/>
          <w:highlight w:val="none"/>
        </w:rPr>
      </w:pPr>
    </w:p>
    <w:p w14:paraId="4C2F1573">
      <w:pPr>
        <w:pStyle w:val="6"/>
        <w:tabs>
          <w:tab w:val="right" w:leader="dot" w:pos="8306"/>
        </w:tabs>
        <w:spacing w:before="312" w:beforeLines="100" w:line="960" w:lineRule="auto"/>
        <w:jc w:val="center"/>
        <w:outlineLvl w:val="0"/>
        <w:rPr>
          <w:rFonts w:ascii="方正小标宋简体" w:hAnsi="仿宋_GB2312" w:eastAsia="方正小标宋简体" w:cs="仿宋_GB2312"/>
          <w:szCs w:val="36"/>
          <w:highlight w:val="none"/>
        </w:rPr>
        <w:sectPr>
          <w:pgSz w:w="11906" w:h="16838"/>
          <w:pgMar w:top="2098" w:right="1474" w:bottom="1984" w:left="1587" w:header="720" w:footer="720" w:gutter="0"/>
          <w:pgNumType w:fmt="decimal" w:start="1"/>
          <w:cols w:space="720" w:num="1"/>
          <w:docGrid w:type="lines" w:linePitch="312" w:charSpace="0"/>
        </w:sectPr>
      </w:pPr>
      <w:bookmarkStart w:id="0" w:name="_Toc313896261"/>
    </w:p>
    <w:bookmarkEnd w:id="0"/>
    <w:p w14:paraId="41140787">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sz w:val="32"/>
          <w:szCs w:val="32"/>
          <w:highlight w:val="none"/>
        </w:rPr>
      </w:pPr>
      <w:bookmarkStart w:id="1" w:name="_Toc795621961"/>
      <w:r>
        <w:rPr>
          <w:rFonts w:hint="eastAsia" w:ascii="黑体" w:hAnsi="黑体" w:eastAsia="黑体" w:cs="黑体"/>
          <w:sz w:val="32"/>
          <w:szCs w:val="32"/>
          <w:highlight w:val="none"/>
          <w:lang w:eastAsia="zh-CN"/>
        </w:rPr>
        <w:t>重点</w:t>
      </w:r>
      <w:r>
        <w:rPr>
          <w:rFonts w:hint="eastAsia" w:ascii="黑体" w:hAnsi="黑体" w:eastAsia="黑体" w:cs="黑体"/>
          <w:sz w:val="32"/>
          <w:szCs w:val="32"/>
          <w:highlight w:val="none"/>
        </w:rPr>
        <w:t>项目（</w:t>
      </w:r>
      <w:r>
        <w:rPr>
          <w:rFonts w:hint="eastAsia" w:ascii="黑体" w:hAnsi="黑体" w:eastAsia="黑体" w:cs="黑体"/>
          <w:sz w:val="32"/>
          <w:szCs w:val="32"/>
          <w:highlight w:val="none"/>
          <w:lang w:val="en-US" w:eastAsia="zh-CN"/>
        </w:rPr>
        <w:t>5</w:t>
      </w:r>
      <w:r>
        <w:rPr>
          <w:rFonts w:hint="eastAsia" w:ascii="黑体" w:hAnsi="黑体" w:eastAsia="黑体" w:cs="黑体"/>
          <w:sz w:val="32"/>
          <w:szCs w:val="32"/>
          <w:highlight w:val="none"/>
        </w:rPr>
        <w:t>项）</w:t>
      </w:r>
    </w:p>
    <w:p w14:paraId="4A330B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sz w:val="32"/>
          <w:szCs w:val="32"/>
          <w:highlight w:val="none"/>
        </w:rPr>
      </w:pPr>
    </w:p>
    <w:p w14:paraId="67ADDD61">
      <w:pPr>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1.低浓度瓦斯热能协同乏风氧化技术研究（E04）</w:t>
      </w:r>
    </w:p>
    <w:p w14:paraId="523D1DA6">
      <w:pPr>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针对低浓度瓦斯氧化利用技术仍存在氧化启动能耗高、热量循环利用不足、运行稳定性差等关键瓶颈，研究低浓度瓦斯-乏风混合气氧化过程中的流动、传热传质及反应动力学特性，揭示甲烷浓度、温度、氧含量及停留时间等因素对氧化效率的影响规律；构建热能协同驱动的乏风氧化强化方法，研究氧化释放热量与外部余热回收之间的耦合关系，实现系统自持运行与能量高效利用；优化氧化反应过程及装备结构参数，建立运行工况智能调控方法，提高低浓度瓦斯处理能力和系统稳定性。</w:t>
      </w:r>
      <w:r>
        <w:rPr>
          <w:rFonts w:hint="eastAsia" w:ascii="仿宋_GB2312" w:hAnsi="仿宋_GB2312" w:eastAsia="仿宋_GB2312" w:cs="仿宋_GB2312"/>
          <w:b/>
          <w:bCs w:val="0"/>
          <w:sz w:val="32"/>
          <w:szCs w:val="32"/>
          <w:highlight w:val="none"/>
        </w:rPr>
        <w:t>考核指标：</w:t>
      </w:r>
      <w:r>
        <w:rPr>
          <w:rFonts w:hint="eastAsia" w:ascii="仿宋_GB2312" w:hAnsi="仿宋_GB2312" w:eastAsia="仿宋_GB2312" w:cs="仿宋_GB2312"/>
          <w:b w:val="0"/>
          <w:bCs/>
          <w:sz w:val="32"/>
          <w:szCs w:val="32"/>
          <w:highlight w:val="none"/>
        </w:rPr>
        <w:t>实现CH4浓度0.18%～1.0%的低浓度瓦斯协同氧化，提高低浓度工况适应能力。实现甲烷转化率≥95%，提升复杂波动工况下氧化稳定性。建立低浓度瓦斯热能协同利用模式，实现热能利用效率≥70%。</w:t>
      </w:r>
    </w:p>
    <w:p w14:paraId="2A58C33E">
      <w:pPr>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2.深部煤层水热介质与氧协同原位制氢技术研究（E04）</w:t>
      </w:r>
    </w:p>
    <w:p w14:paraId="6A1EB775">
      <w:pPr>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针对深部煤层原位制氢水热气化/重整反应过程不明、产气通道演化机制复杂等关键瓶颈，研究水蒸气、亚临界水和超临界水参与下煤-水-氧在反应过程中的氢气生成机制，揭示温度、压力及停留时间等因素对碳转化率和氢气生成的影响规律；构建氧化放热驱动水热气化与重整的热能协同方法，形成低外部能耗、稳定持续的原位制氢模式；研究水热反应诱导细观结构、宏观渗透演化与气体运移规律，建立产气通道和围岩稳定协同调控方法，优化水氧注入时序及井网参数，提高深部煤层制氢效率。</w:t>
      </w:r>
      <w:r>
        <w:rPr>
          <w:rFonts w:hint="eastAsia" w:ascii="仿宋_GB2312" w:hAnsi="仿宋_GB2312" w:eastAsia="仿宋_GB2312" w:cs="仿宋_GB2312"/>
          <w:b/>
          <w:bCs w:val="0"/>
          <w:sz w:val="32"/>
          <w:szCs w:val="32"/>
          <w:highlight w:val="none"/>
        </w:rPr>
        <w:t>考核指标：</w:t>
      </w:r>
      <w:r>
        <w:rPr>
          <w:rFonts w:hint="eastAsia" w:ascii="仿宋_GB2312" w:hAnsi="仿宋_GB2312" w:eastAsia="仿宋_GB2312" w:cs="仿宋_GB2312"/>
          <w:b w:val="0"/>
          <w:bCs/>
          <w:sz w:val="32"/>
          <w:szCs w:val="32"/>
          <w:highlight w:val="none"/>
        </w:rPr>
        <w:t>明确不同热力状态水温度、压力和停留时间等关键因素的作用规律与适用边界。建立宏细观孔渗参数-产气特征关联模型，模型精度±15%。建立原位制氢多场耦合模型，形成1套水氧注入时序及井网参数协同调控方法。</w:t>
      </w:r>
    </w:p>
    <w:p w14:paraId="6A0D0C6F">
      <w:pPr>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3.煤矿瓦斯抽采钻孔智能防喷理论与关键技术研究（EO4）</w:t>
      </w:r>
    </w:p>
    <w:p w14:paraId="15A64345">
      <w:pPr>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针对深部煤层钻孔喷孔致灾机理不明、感知手段有限等瓶颈，研究“应力-损伤-渗流-煤粉运移”多场跨尺度耦合机制，揭示临界失稳能量突释判据与演化规律。融合瓦斯压力、浓度、流量与钻进参数等多源信息，构建四级四色动态风险分级方法。结合物理约束与迁移学习，搭建可解释短临预警模型，建立“感知-预警-决策-封堵-抽采”闭环协同架构。提出孔口柔性夹持、气水渣高效分离与负压主动抽采联动策略，形成集多源感知、智能预警、快速封堵、主动卸压于一体的智能防喷技术体系。</w:t>
      </w:r>
      <w:r>
        <w:rPr>
          <w:rFonts w:hint="eastAsia" w:ascii="仿宋_GB2312" w:hAnsi="仿宋_GB2312" w:eastAsia="仿宋_GB2312" w:cs="仿宋_GB2312"/>
          <w:b/>
          <w:bCs w:val="0"/>
          <w:sz w:val="32"/>
          <w:szCs w:val="32"/>
          <w:highlight w:val="none"/>
        </w:rPr>
        <w:t>考核指标：</w:t>
      </w:r>
      <w:r>
        <w:rPr>
          <w:rFonts w:hint="eastAsia" w:ascii="仿宋_GB2312" w:hAnsi="仿宋_GB2312" w:eastAsia="仿宋_GB2312" w:cs="仿宋_GB2312"/>
          <w:b w:val="0"/>
          <w:bCs/>
          <w:sz w:val="32"/>
          <w:szCs w:val="32"/>
          <w:highlight w:val="none"/>
        </w:rPr>
        <w:t>建立喷孔多场耦合失稳判据与四级四色风险分级体系；研发复杂工况智能预警方法，使构造破碎带、软分层条件下预警防控成功率提升≥60%，喷孔超限事故率降低≥80%，实现“感知-预警-响应”闭环控制。</w:t>
      </w:r>
    </w:p>
    <w:p w14:paraId="636538F3">
      <w:pPr>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4.沁水盆地深部煤层气储层精细表征与气藏赋存规律研究（D02）</w:t>
      </w:r>
    </w:p>
    <w:p w14:paraId="0D05AF06">
      <w:pPr>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针对沁水盆地深部煤岩孔-裂隙系统发育特征及其对甲烷赋存和运移控制机理不清、赋存相态识别、转换与温压耦合关系不明的问题，开展多尺度孔-裂隙系统精细表征，揭示其发育特征、连通性演化规律及对甲烷吸附、渗流的控制作用；深入研究煤层气赋存相态与含气性演化规律，明确吸附气与游离气的相态识别标志，阐明埋深、地层温压条件与煤层气赋存状态之间的耦合演化关系；构建地质-工程一体化储层评价方法，建立深部煤储层双维度“甜点”评价体系。</w:t>
      </w:r>
      <w:r>
        <w:rPr>
          <w:rFonts w:hint="eastAsia" w:ascii="仿宋_GB2312" w:hAnsi="仿宋_GB2312" w:eastAsia="仿宋_GB2312" w:cs="仿宋_GB2312"/>
          <w:b/>
          <w:bCs w:val="0"/>
          <w:sz w:val="32"/>
          <w:szCs w:val="32"/>
          <w:highlight w:val="none"/>
        </w:rPr>
        <w:t>考核指标：</w:t>
      </w:r>
      <w:r>
        <w:rPr>
          <w:rFonts w:hint="eastAsia" w:ascii="仿宋_GB2312" w:hAnsi="仿宋_GB2312" w:eastAsia="仿宋_GB2312" w:cs="仿宋_GB2312"/>
          <w:b w:val="0"/>
          <w:bCs/>
          <w:sz w:val="32"/>
          <w:szCs w:val="32"/>
          <w:highlight w:val="none"/>
        </w:rPr>
        <w:t>形成深部煤储层多尺度孔-裂隙系统精细表征方法；揭示深部煤层气赋存相态与含气性演化规律；建立深部煤储层地质-工程“甜点”一体化评价方法。</w:t>
      </w:r>
    </w:p>
    <w:p w14:paraId="292F683E">
      <w:pPr>
        <w:ind w:firstLine="640" w:firstLineChars="200"/>
        <w:rPr>
          <w:rFonts w:hint="eastAsia" w:ascii="楷体_GB2312" w:hAnsi="楷体_GB2312" w:eastAsia="楷体_GB2312" w:cs="楷体_GB2312"/>
          <w:b w:val="0"/>
          <w:bCs/>
          <w:sz w:val="32"/>
          <w:szCs w:val="32"/>
          <w:highlight w:val="none"/>
        </w:rPr>
      </w:pPr>
      <w:r>
        <w:rPr>
          <w:rFonts w:hint="eastAsia" w:ascii="楷体_GB2312" w:hAnsi="楷体_GB2312" w:eastAsia="楷体_GB2312" w:cs="楷体_GB2312"/>
          <w:b w:val="0"/>
          <w:bCs/>
          <w:sz w:val="32"/>
          <w:szCs w:val="32"/>
          <w:highlight w:val="none"/>
        </w:rPr>
        <w:t>5.天然气（煤层气）掺氢输送光纤感知与数字孪生智能调度技术研究（E04）</w:t>
      </w:r>
    </w:p>
    <w:p w14:paraId="6FDBA832">
      <w:pPr>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val="0"/>
          <w:bCs/>
          <w:sz w:val="32"/>
          <w:szCs w:val="32"/>
          <w:highlight w:val="none"/>
        </w:rPr>
        <w:t>针对天然气（煤层气）掺氢后易出现的重力分层、组分滑移及泄漏预警滞后等问题，开展掺氢管线多组分流动特征研究，制定光纤敷设方案，解析3%～20%掺氢比下分层流特征及氢气泄漏规律；采用CFD模拟复杂工况下的多组分流动与摩阻特性，阐明组分滑移及局部氢气富集的影响机制，建立摩阻计算模型。融合光纤监测、CFD仿真与SCADA多源数据，构建掺氢输送管线数字孪生模型，实现气体分层、氢气富集与泄漏预判。根据数字孪生技术开发多目标调度优化算法，形成“感知-孪生-决策-调控”一体化技术方案。</w:t>
      </w:r>
      <w:r>
        <w:rPr>
          <w:rFonts w:hint="eastAsia" w:ascii="仿宋_GB2312" w:hAnsi="仿宋_GB2312" w:eastAsia="仿宋_GB2312" w:cs="仿宋_GB2312"/>
          <w:b/>
          <w:bCs w:val="0"/>
          <w:sz w:val="32"/>
          <w:szCs w:val="32"/>
          <w:highlight w:val="none"/>
        </w:rPr>
        <w:t>考核指标：</w:t>
      </w:r>
      <w:r>
        <w:rPr>
          <w:rFonts w:hint="eastAsia" w:ascii="仿宋_GB2312" w:hAnsi="仿宋_GB2312" w:eastAsia="仿宋_GB2312" w:cs="仿宋_GB2312"/>
          <w:b w:val="0"/>
          <w:bCs/>
          <w:sz w:val="32"/>
          <w:szCs w:val="32"/>
          <w:highlight w:val="none"/>
        </w:rPr>
        <w:t>明确3%～20%掺氢比下分层流形成的临界条件，建立流型判别准则，提交管线光纤敷设方案1套；建立掺氢煤层气管道多组分摩阻计算模型，精度误差≤8%；构建掺氢输送管线数字孪生模型1个，开发多目标优化调度算法1套。</w:t>
      </w:r>
    </w:p>
    <w:p w14:paraId="3A23D5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p>
    <w:p w14:paraId="2752412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0"/>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一般项目（</w:t>
      </w:r>
      <w:r>
        <w:rPr>
          <w:rFonts w:hint="eastAsia" w:ascii="黑体" w:hAnsi="黑体" w:eastAsia="黑体" w:cs="黑体"/>
          <w:sz w:val="32"/>
          <w:szCs w:val="32"/>
          <w:highlight w:val="none"/>
          <w:lang w:val="en-US" w:eastAsia="zh-CN"/>
        </w:rPr>
        <w:t>11</w:t>
      </w:r>
      <w:r>
        <w:rPr>
          <w:rFonts w:hint="eastAsia" w:ascii="黑体" w:hAnsi="黑体" w:eastAsia="黑体" w:cs="黑体"/>
          <w:sz w:val="32"/>
          <w:szCs w:val="32"/>
          <w:highlight w:val="none"/>
          <w:lang w:eastAsia="zh-CN"/>
        </w:rPr>
        <w:t>项）</w:t>
      </w:r>
    </w:p>
    <w:p w14:paraId="058EB2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highlight w:val="none"/>
        </w:rPr>
      </w:pPr>
    </w:p>
    <w:bookmarkEnd w:id="1"/>
    <w:p w14:paraId="346A52B7">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6.煤矿瓦斯高效浓缩制液化级天然气关键技术研究（B08）</w:t>
      </w:r>
    </w:p>
    <w:p w14:paraId="17A5EC8A">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针对含氧煤矿瓦斯提纯流程复杂、能耗较高，单一甲烷富集或直接脱氧-氮工艺难以兼顾产品纯度与甲烷回收率的难题，围绕CH</w:t>
      </w:r>
      <w:r>
        <w:rPr>
          <w:rFonts w:hint="eastAsia" w:ascii="仿宋_GB2312" w:hAnsi="仿宋_GB2312" w:eastAsia="仿宋_GB2312" w:cs="仿宋_GB2312"/>
          <w:b w:val="0"/>
          <w:bCs w:val="0"/>
          <w:sz w:val="32"/>
          <w:szCs w:val="32"/>
          <w:vertAlign w:val="subscript"/>
          <w:lang w:val="en-US" w:eastAsia="zh-CN"/>
        </w:rPr>
        <w:t>4</w:t>
      </w:r>
      <w:r>
        <w:rPr>
          <w:rFonts w:hint="eastAsia" w:ascii="仿宋_GB2312" w:hAnsi="仿宋_GB2312" w:eastAsia="仿宋_GB2312" w:cs="仿宋_GB2312"/>
          <w:b w:val="0"/>
          <w:bCs w:val="0"/>
          <w:sz w:val="32"/>
          <w:szCs w:val="32"/>
          <w:lang w:val="en-US" w:eastAsia="zh-CN"/>
        </w:rPr>
        <w:t>浓度20%以上含氧瓦斯，研究甲烷富集浓缩与精脱氮-氧协同工艺，构建两级耦合流程模型，优化变压吸附参数，揭示原料浓度波动下产品纯度、回收率和能耗的变化规律；开展关键脱氮-氧吸附材料筛选与创制、制备放大、成型、吸附性能及结构-性能关系分析；开展装备连续运行和工况适应性验证，明确一二级材料性能与运行条件的匹配关系。</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研制得到脱氧-氮吸附剂的（氧气-氮气）/甲烷吸附比＞3.0，实现公斤级生产；完成吸附装置适配验证，装置吸附剂总装填量≥10 kg，原料气处理流量≥20 L/min；获得CH</w:t>
      </w:r>
      <w:r>
        <w:rPr>
          <w:rFonts w:hint="eastAsia" w:ascii="仿宋_GB2312" w:hAnsi="仿宋_GB2312" w:eastAsia="仿宋_GB2312" w:cs="仿宋_GB2312"/>
          <w:b w:val="0"/>
          <w:bCs w:val="0"/>
          <w:sz w:val="32"/>
          <w:szCs w:val="32"/>
          <w:vertAlign w:val="subscript"/>
          <w:lang w:val="en-US" w:eastAsia="zh-CN"/>
        </w:rPr>
        <w:t>4</w:t>
      </w:r>
      <w:r>
        <w:rPr>
          <w:rFonts w:hint="eastAsia" w:ascii="仿宋_GB2312" w:hAnsi="仿宋_GB2312" w:eastAsia="仿宋_GB2312" w:cs="仿宋_GB2312"/>
          <w:b w:val="0"/>
          <w:bCs w:val="0"/>
          <w:sz w:val="32"/>
          <w:szCs w:val="32"/>
          <w:lang w:val="en-US" w:eastAsia="zh-CN"/>
        </w:rPr>
        <w:t>＞95%、O</w:t>
      </w:r>
      <w:r>
        <w:rPr>
          <w:rFonts w:hint="eastAsia" w:ascii="仿宋_GB2312" w:hAnsi="仿宋_GB2312" w:eastAsia="仿宋_GB2312" w:cs="仿宋_GB2312"/>
          <w:b w:val="0"/>
          <w:bCs w:val="0"/>
          <w:sz w:val="32"/>
          <w:szCs w:val="32"/>
          <w:vertAlign w:val="subscript"/>
          <w:lang w:val="en-US" w:eastAsia="zh-CN"/>
        </w:rPr>
        <w:t>2</w:t>
      </w:r>
      <w:r>
        <w:rPr>
          <w:rFonts w:hint="eastAsia" w:ascii="仿宋_GB2312" w:hAnsi="仿宋_GB2312" w:eastAsia="仿宋_GB2312" w:cs="仿宋_GB2312"/>
          <w:b w:val="0"/>
          <w:bCs w:val="0"/>
          <w:sz w:val="32"/>
          <w:szCs w:val="32"/>
          <w:lang w:val="en-US" w:eastAsia="zh-CN"/>
        </w:rPr>
        <w:t>＜0.1%的液化级甲烷气，CH</w:t>
      </w:r>
      <w:r>
        <w:rPr>
          <w:rFonts w:hint="eastAsia" w:ascii="仿宋_GB2312" w:hAnsi="仿宋_GB2312" w:eastAsia="仿宋_GB2312" w:cs="仿宋_GB2312"/>
          <w:b w:val="0"/>
          <w:bCs w:val="0"/>
          <w:sz w:val="32"/>
          <w:szCs w:val="32"/>
          <w:vertAlign w:val="subscript"/>
          <w:lang w:val="en-US" w:eastAsia="zh-CN"/>
        </w:rPr>
        <w:t>4</w:t>
      </w:r>
      <w:r>
        <w:rPr>
          <w:rFonts w:hint="eastAsia" w:ascii="仿宋_GB2312" w:hAnsi="仿宋_GB2312" w:eastAsia="仿宋_GB2312" w:cs="仿宋_GB2312"/>
          <w:b w:val="0"/>
          <w:bCs w:val="0"/>
          <w:sz w:val="32"/>
          <w:szCs w:val="32"/>
          <w:lang w:val="en-US" w:eastAsia="zh-CN"/>
        </w:rPr>
        <w:t>回收率≥90%。</w:t>
      </w:r>
    </w:p>
    <w:p w14:paraId="2631E896">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7.煤层气井原位催化增产功能材料创制及其增产机制研究（E04）</w:t>
      </w:r>
    </w:p>
    <w:p w14:paraId="61D02CB0">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煤层气低产井、老井增产动力不足以及煤储层条件下现有增产措施有限等问题，创制兼具催化转化与释热调控功能的复合材料，探索材料结构组成、释热特性与催化活性之间的依变关系；研究反应过程中活性氢物种的生成及其对碳氢化反应的促进作用，阐明原位可控释热驱动下煤中活性结构转化与甲烷生成机制；揭示原位传热与多相催化耦合增产机制。</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形成煤层气原位催化增产复合功能材料设计与制备方法；阐明原位热化学驱动下煤结构转化与甲烷生成的关键机制；实现甲烷产率提升</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sz w:val="32"/>
          <w:szCs w:val="32"/>
          <w:lang w:val="en-US" w:eastAsia="zh-CN"/>
        </w:rPr>
        <w:t>%以上。</w:t>
      </w:r>
    </w:p>
    <w:p w14:paraId="4884A980">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8.采动应力路径下构造煤瓦斯扩散-渗流运移机理研究（E04）</w:t>
      </w:r>
    </w:p>
    <w:p w14:paraId="6A15D054">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采动应力路径下构造煤瓦斯扩散-渗流耦合运移机理不明等问题，研究典型应力路径及其加卸压速率等特征，揭示不同应力路径下含气构造煤孔裂隙结构动态演化规律及煤体损伤累积机制，揭示构造煤采动应力-扩散-渗流耦合运移机理，构建多过程协同运移的关系模型。</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明确不少于3类典型采动应力路径及其加卸压速率等特征；揭示构造煤采动应力-扩散-渗流耦合运移机理；构建多过程协同运移的关系模型1个。</w:t>
      </w:r>
    </w:p>
    <w:p w14:paraId="22114DE2">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9.动静载交互作用含瓦斯煤层损伤演化及协同增渗机制研究（E04）</w:t>
      </w:r>
    </w:p>
    <w:p w14:paraId="04395F81">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针对深部低渗煤层水力压裂后水锁效应导致增渗不足问题，研究多尺度孔裂隙水锁形成与抑渗机制，揭示液态CO</w:t>
      </w:r>
      <w:r>
        <w:rPr>
          <w:rFonts w:hint="eastAsia" w:ascii="仿宋_GB2312" w:hAnsi="仿宋_GB2312" w:eastAsia="仿宋_GB2312" w:cs="仿宋_GB2312"/>
          <w:b w:val="0"/>
          <w:bCs w:val="0"/>
          <w:sz w:val="32"/>
          <w:szCs w:val="32"/>
          <w:vertAlign w:val="subscript"/>
          <w:lang w:val="en-US" w:eastAsia="zh-CN"/>
        </w:rPr>
        <w:t>2</w:t>
      </w:r>
      <w:r>
        <w:rPr>
          <w:rFonts w:hint="eastAsia" w:ascii="仿宋_GB2312" w:hAnsi="仿宋_GB2312" w:eastAsia="仿宋_GB2312" w:cs="仿宋_GB2312"/>
          <w:b w:val="0"/>
          <w:bCs w:val="0"/>
          <w:sz w:val="32"/>
          <w:szCs w:val="32"/>
          <w:lang w:val="en-US" w:eastAsia="zh-CN"/>
        </w:rPr>
        <w:t>相变应力波与水膜/毛细力作用规律，明确水膜破裂、孔隙重分布及微裂隙贯通临界条件，阐明动静载协同下煤体损伤与裂隙扩展机制，构建解锁效率评价方法，提出“主裂隙导流+微裂隙破膜排驱”协同增渗调控技术。</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构建水锁力学模型及相变破膜判据，实现0～10MPa围压、0%～100%含水条件下模型预测误差≤15%；相比单一水力压裂，水锁区体积缩减率≥30%。</w:t>
      </w:r>
    </w:p>
    <w:p w14:paraId="185DE8C9">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10.积水老空区煤层气生物工程应用基础研究（D02）</w:t>
      </w:r>
    </w:p>
    <w:p w14:paraId="4D5C0D75">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积水老空区煤层气生物工程理论与增产技术研究尚不成熟的问题，开展高效功能菌群培育与产气代谢特性研究，揭示生物降解产甲烷代谢通路及种间互作机制，分析生物产气过程中外源与本源有机质协同互作关系，阐明外源有机质增产老空区生物煤层气机理，研究生物降解产甲烷过程中煤孔裂隙与力学性能演化规律，明晰长期生物产气对煤体结构与稳定性的影响及调控机制。</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建立积水老空区煤层气生物工程理论，甲烷产量较原始遗煤体系提升50%以上。</w:t>
      </w:r>
    </w:p>
    <w:p w14:paraId="558D8B82">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11.瓦斯抽采钻进过程跨模态认知推理与自进化智能管控关键技术研究（E04）</w:t>
      </w:r>
    </w:p>
    <w:p w14:paraId="2FC8EA94">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钻进依赖人工经验、多源信息割裂、异常处置滞后等瓶颈，研究多场耦合动态响应特性，揭示地质-工艺-设备状态对异常的演化规律；构建跨模态语义对齐驱动的认知推理方法，打通时序数据、地质文本与专家知识间的信息孤岛；建立人机共融闭环决策方法，提升复杂工况自主适应能力。</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建立多场耦合实时推演模型1套；异常诊断可解释语义级输出，跨模态认知推理模型语义检索精度mAP</w:t>
      </w:r>
      <w:r>
        <w:rPr>
          <w:rFonts w:hint="default" w:ascii="Cambria" w:hAnsi="Cambria" w:eastAsia="宋体" w:cs="宋体"/>
          <w:b w:val="0"/>
          <w:bCs w:val="0"/>
          <w:sz w:val="32"/>
          <w:szCs w:val="32"/>
          <w:lang w:val="en-US" w:eastAsia="zh-CN"/>
        </w:rPr>
        <w:t>@</w:t>
      </w:r>
      <w:r>
        <w:rPr>
          <w:rFonts w:hint="eastAsia" w:ascii="仿宋_GB2312" w:hAnsi="仿宋_GB2312" w:eastAsia="仿宋_GB2312" w:cs="仿宋_GB2312"/>
          <w:b w:val="0"/>
          <w:bCs w:val="0"/>
          <w:sz w:val="32"/>
          <w:szCs w:val="32"/>
          <w:lang w:val="en-US" w:eastAsia="zh-CN"/>
        </w:rPr>
        <w:t>10≥0.80；开发预见性闭环控制系统，钻进效率提升≥10%。</w:t>
      </w:r>
    </w:p>
    <w:p w14:paraId="4C6E5FD6">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12.煤层气开采煤粉生成运移机理及原位团聚控粉技术研究（E04）</w:t>
      </w:r>
    </w:p>
    <w:p w14:paraId="5C30FAC6">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煤层气开发过程中煤粉堵塞裂隙及磨损抽采设备难题，研究煤层气开发各阶段煤粉产出特征，阐明煤粉产生、运移、堵塞的影响因素及控制机理，建立全生命周期煤粉预警指标与防控方案及煤粉生成预测模型，定量描述各阶段产粉量与主控因素关系。</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构建裂隙-井筒的煤粉运移模型2个，揭示煤粉堵卡泵的动力学条件（≥3井次）；建立煤层气开采全生命周期煤粉伤害定量评价体系1套，形成分阶段递进式排采优化控制方案2套。</w:t>
      </w:r>
    </w:p>
    <w:p w14:paraId="36286C5D">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13.采空区煤层气储集空间演化与气体运移机理研究（E04）</w:t>
      </w:r>
    </w:p>
    <w:p w14:paraId="35260704">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我省采空区煤层气资源传统抽采模式存在井位布局不合理、抽采效率偏低等问题，开展采空区煤层气储集空间演化与气体运移机理研究。搭建“应力-渗流”多场耦合试验平台，揭示采动全过程中采空覆岩运移动态演化规律，厘清储集空间非均匀分布的主控作用，揭示采空煤层气运移富集机制。</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建立采空多场耦合数值模型1套，拟合精度≥90%；搭建“应力-渗流-浓度”多场耦合平台1套，采空覆岩运移演化模拟精度≥90%。</w:t>
      </w:r>
    </w:p>
    <w:p w14:paraId="6DF5632F">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14.煤层气与煤协同制备碳纳米管复合材料及其储能性能研究（B09）</w:t>
      </w:r>
    </w:p>
    <w:p w14:paraId="137415DA">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煤层气高值利用与储能材料需求，构筑煤层气/煤两相碳源协同催化裂解制备碳纳米管复合材料，形成碳纳米管/多孔碳三维导电储能网络，揭示碳管/多孔碳协同调控体积能量密度和离子输运的作用规律，开展储能器件性能评价，为低成本、高性能储能材料开发提供支撑。</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气固两相基碳纳米管复合负极在0.5 A/g下比电容≥306.3 F/g；20 A/g下保持率≥75.9%；组装对称器件能量密度≥13.34 Wh/kg；5 A/g下经20,000次循环保持率≥94%。</w:t>
      </w:r>
    </w:p>
    <w:p w14:paraId="307F02A5">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15.煤层气压裂有效储层改造体积的应力-应变双场耦合精细表征研究（E04）</w:t>
      </w:r>
    </w:p>
    <w:p w14:paraId="3944E298">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压裂效果评价中微地震与井下分布式光纤监测数据融合不足、评价结果与产能关联度低的问题，开展地面微地震与井下分布式光纤联合监测，进行应力-应变双场耦合精细表征，构建有效储层改造定量评价模型，实现有效缝网的精准识别与体积计算。</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建立双源数据统一网格协同反演方法，空间叠合精度≥90%；构建基于应力场与应变场驱动的有效储层改造评价模型，评价准确性较传统微地震包络面法提升≥20%。</w:t>
      </w:r>
    </w:p>
    <w:p w14:paraId="78648BB5">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16.深部煤层水力压裂破裂压力精准预测及压裂缝网调控机理研究（E04）</w:t>
      </w:r>
    </w:p>
    <w:p w14:paraId="111BE65F">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针对深部煤层水力压裂破裂压力预测精度低、煤体断裂韧性高导致裂缝扩展困难、难以形成复杂缝网等问题，开展注水压力驱动煤体断裂试验，构建破裂压力非线性理论预测模型；建立工程尺度下的水力压裂数值模型，结合真三轴压裂试验验证模型准确性。</w:t>
      </w:r>
      <w:r>
        <w:rPr>
          <w:rFonts w:hint="eastAsia" w:ascii="仿宋_GB2312" w:hAnsi="仿宋_GB2312" w:eastAsia="仿宋_GB2312" w:cs="仿宋_GB2312"/>
          <w:b/>
          <w:bCs/>
          <w:sz w:val="32"/>
          <w:szCs w:val="32"/>
          <w:lang w:val="en-US" w:eastAsia="zh-CN"/>
        </w:rPr>
        <w:t>考核指标：</w:t>
      </w:r>
      <w:r>
        <w:rPr>
          <w:rFonts w:hint="eastAsia" w:ascii="仿宋_GB2312" w:hAnsi="仿宋_GB2312" w:eastAsia="仿宋_GB2312" w:cs="仿宋_GB2312"/>
          <w:b w:val="0"/>
          <w:bCs w:val="0"/>
          <w:sz w:val="32"/>
          <w:szCs w:val="32"/>
          <w:lang w:val="en-US" w:eastAsia="zh-CN"/>
        </w:rPr>
        <w:t>建立深部煤层破裂压力预测模型，预测精度≥90%；形成一套深部煤层水力压裂缝网调控方法。</w:t>
      </w:r>
    </w:p>
    <w:p w14:paraId="0CC89BD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lang w:eastAsia="zh-CN"/>
        </w:rPr>
      </w:pPr>
    </w:p>
    <w:sectPr>
      <w:footerReference r:id="rId3" w:type="default"/>
      <w:pgSz w:w="11906" w:h="16838"/>
      <w:pgMar w:top="2098" w:right="1474" w:bottom="1984" w:left="1587" w:header="720" w:footer="1474"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mbria">
    <w:altName w:val="Noto Sans Syriac Eastern"/>
    <w:panose1 w:val="02040503050406030204"/>
    <w:charset w:val="00"/>
    <w:family w:val="auto"/>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E66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016459">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4XqNgMQIAAGMEAAAOAAAAAAAAAAEAIAAAAB8BAABkcnMvZTJvRG9jLnhtbFBLBQYA&#10;AAAABgAGAFkBAADCBQAAAAA=&#10;">
              <v:fill on="f" focussize="0,0"/>
              <v:stroke on="f" weight="0.5pt"/>
              <v:imagedata o:title=""/>
              <o:lock v:ext="edit" aspectratio="f"/>
              <v:textbox inset="0mm,0mm,0mm,0mm" style="mso-fit-shape-to-text:t;">
                <w:txbxContent>
                  <w:p w14:paraId="26016459">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9293"/>
    <w:rsid w:val="00026D43"/>
    <w:rsid w:val="000A7C48"/>
    <w:rsid w:val="000B0471"/>
    <w:rsid w:val="000D7BA8"/>
    <w:rsid w:val="001146BB"/>
    <w:rsid w:val="00150D08"/>
    <w:rsid w:val="00161887"/>
    <w:rsid w:val="001A5DF6"/>
    <w:rsid w:val="001B530F"/>
    <w:rsid w:val="002347E0"/>
    <w:rsid w:val="0023585C"/>
    <w:rsid w:val="002F4B14"/>
    <w:rsid w:val="00313B8A"/>
    <w:rsid w:val="0033496D"/>
    <w:rsid w:val="00353D4A"/>
    <w:rsid w:val="00382019"/>
    <w:rsid w:val="00414322"/>
    <w:rsid w:val="00437C9B"/>
    <w:rsid w:val="004637BE"/>
    <w:rsid w:val="00476E30"/>
    <w:rsid w:val="004C3827"/>
    <w:rsid w:val="0053038C"/>
    <w:rsid w:val="005430F6"/>
    <w:rsid w:val="005A0C4A"/>
    <w:rsid w:val="005B5228"/>
    <w:rsid w:val="005E30E8"/>
    <w:rsid w:val="005E33E3"/>
    <w:rsid w:val="0063046D"/>
    <w:rsid w:val="006A1994"/>
    <w:rsid w:val="006C014F"/>
    <w:rsid w:val="006D0486"/>
    <w:rsid w:val="006F0C6C"/>
    <w:rsid w:val="006F35E4"/>
    <w:rsid w:val="007314A5"/>
    <w:rsid w:val="007A19F3"/>
    <w:rsid w:val="007D2E35"/>
    <w:rsid w:val="00821941"/>
    <w:rsid w:val="00833438"/>
    <w:rsid w:val="008654D5"/>
    <w:rsid w:val="008A1AC6"/>
    <w:rsid w:val="008E0536"/>
    <w:rsid w:val="009A76E6"/>
    <w:rsid w:val="009D19D5"/>
    <w:rsid w:val="00A30458"/>
    <w:rsid w:val="00A56FC2"/>
    <w:rsid w:val="00AB2C0D"/>
    <w:rsid w:val="00B1110C"/>
    <w:rsid w:val="00B43B50"/>
    <w:rsid w:val="00B660EB"/>
    <w:rsid w:val="00BB41BA"/>
    <w:rsid w:val="00C000B9"/>
    <w:rsid w:val="00C257A9"/>
    <w:rsid w:val="00C33CD1"/>
    <w:rsid w:val="00C42C0B"/>
    <w:rsid w:val="00C53906"/>
    <w:rsid w:val="00C771BF"/>
    <w:rsid w:val="00C8141C"/>
    <w:rsid w:val="00CE7D72"/>
    <w:rsid w:val="00D04B2C"/>
    <w:rsid w:val="00D822C2"/>
    <w:rsid w:val="00DB074F"/>
    <w:rsid w:val="00E21FC8"/>
    <w:rsid w:val="00EE424F"/>
    <w:rsid w:val="00EF60BF"/>
    <w:rsid w:val="00F32897"/>
    <w:rsid w:val="00FC3F6B"/>
    <w:rsid w:val="00FF044F"/>
    <w:rsid w:val="00FF585C"/>
    <w:rsid w:val="01DB4AB0"/>
    <w:rsid w:val="05F31F5D"/>
    <w:rsid w:val="0A34384D"/>
    <w:rsid w:val="0B2629C3"/>
    <w:rsid w:val="0C04757A"/>
    <w:rsid w:val="0EE866DC"/>
    <w:rsid w:val="1B8C08A9"/>
    <w:rsid w:val="26DF799A"/>
    <w:rsid w:val="2BF9F69A"/>
    <w:rsid w:val="2CDD3415"/>
    <w:rsid w:val="306A13CE"/>
    <w:rsid w:val="3712713B"/>
    <w:rsid w:val="399B41CF"/>
    <w:rsid w:val="3D4E4CA4"/>
    <w:rsid w:val="3FDBC7EE"/>
    <w:rsid w:val="46682113"/>
    <w:rsid w:val="47396429"/>
    <w:rsid w:val="4D0D36C2"/>
    <w:rsid w:val="4E763BD9"/>
    <w:rsid w:val="500A74BA"/>
    <w:rsid w:val="519A324E"/>
    <w:rsid w:val="59632306"/>
    <w:rsid w:val="5AA804D6"/>
    <w:rsid w:val="5D7E3E62"/>
    <w:rsid w:val="624F5980"/>
    <w:rsid w:val="630666EA"/>
    <w:rsid w:val="64F85D90"/>
    <w:rsid w:val="69344C1E"/>
    <w:rsid w:val="699A7177"/>
    <w:rsid w:val="6E61725D"/>
    <w:rsid w:val="6F1069B9"/>
    <w:rsid w:val="70223A22"/>
    <w:rsid w:val="702843DB"/>
    <w:rsid w:val="72C04F62"/>
    <w:rsid w:val="72FF82B0"/>
    <w:rsid w:val="77DFC54B"/>
    <w:rsid w:val="799FD39A"/>
    <w:rsid w:val="7CAF041E"/>
    <w:rsid w:val="7D862945"/>
    <w:rsid w:val="7DFB63A9"/>
    <w:rsid w:val="7DFF9293"/>
    <w:rsid w:val="7EF5E6AB"/>
    <w:rsid w:val="7F5760ED"/>
    <w:rsid w:val="7FF65B07"/>
    <w:rsid w:val="9FDBE1DF"/>
    <w:rsid w:val="AE9D44EE"/>
    <w:rsid w:val="BA6DE477"/>
    <w:rsid w:val="BD443E4C"/>
    <w:rsid w:val="BEBBED84"/>
    <w:rsid w:val="C7FBB803"/>
    <w:rsid w:val="CFD7B82B"/>
    <w:rsid w:val="DDBF4ED3"/>
    <w:rsid w:val="E5FF0F9C"/>
    <w:rsid w:val="EC7B7EE4"/>
    <w:rsid w:val="F5B7CB88"/>
    <w:rsid w:val="F65C2853"/>
    <w:rsid w:val="F77CE6D0"/>
    <w:rsid w:val="F973B919"/>
    <w:rsid w:val="F9BC20C5"/>
    <w:rsid w:val="FF7F7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unhideWhenUsed/>
    <w:qFormat/>
    <w:uiPriority w:val="39"/>
  </w:style>
  <w:style w:type="paragraph" w:styleId="7">
    <w:name w:val="Normal (Web)"/>
    <w:basedOn w:val="1"/>
    <w:unhideWhenUsed/>
    <w:qFormat/>
    <w:uiPriority w:val="0"/>
    <w:pPr>
      <w:widowControl/>
      <w:suppressAutoHyphens w:val="0"/>
      <w:spacing w:before="100" w:beforeAutospacing="1" w:after="100" w:afterAutospacing="1"/>
      <w:jc w:val="left"/>
    </w:pPr>
    <w:rPr>
      <w:rFonts w:ascii="宋体" w:hAnsi="宋体" w:cs="宋体"/>
      <w:kern w:val="0"/>
      <w:sz w:val="24"/>
    </w:rPr>
  </w:style>
  <w:style w:type="paragraph" w:customStyle="1" w:styleId="10">
    <w:name w:val="WPSOffice手动目录 1"/>
    <w:qFormat/>
    <w:uiPriority w:val="0"/>
    <w:rPr>
      <w:rFonts w:ascii="Calibri" w:hAnsi="Calibri" w:eastAsia="宋体" w:cs="Times New Roman"/>
      <w:lang w:val="en-US" w:eastAsia="zh-CN" w:bidi="ar-SA"/>
    </w:rPr>
  </w:style>
  <w:style w:type="paragraph" w:customStyle="1" w:styleId="11">
    <w:name w:val="彩色列表 - 强调文字颜色 11"/>
    <w:basedOn w:val="1"/>
    <w:qFormat/>
    <w:uiPriority w:val="34"/>
    <w:pPr>
      <w:ind w:firstLine="420" w:firstLineChars="200"/>
    </w:pPr>
    <w:rPr>
      <w:rFonts w:cs="宋体"/>
      <w:szCs w:val="22"/>
    </w:rPr>
  </w:style>
  <w:style w:type="character" w:customStyle="1" w:styleId="12">
    <w:name w:val="批注框文本 Char"/>
    <w:basedOn w:val="9"/>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6C9C47-FC2C-41D5-B583-9A7C7E3325F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3954</Words>
  <Characters>4140</Characters>
  <Lines>14</Lines>
  <Paragraphs>4</Paragraphs>
  <TotalTime>2</TotalTime>
  <ScaleCrop>false</ScaleCrop>
  <LinksUpToDate>false</LinksUpToDate>
  <CharactersWithSpaces>4162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2025-04-18T10:32:00Z</dcterms:created>
  <dc:creator>闫慧芳:拟稿人</dc:creator>
  <cp:lastModifiedBy>丁国平</cp:lastModifiedBy>
  <cp:lastPrinted>2026-08-10T14:15:07Z</cp:lastPrinted>
  <dcterms:modified xsi:type="dcterms:W3CDTF">2026-08-10T14:16:17Z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D2C4F7A583684764B50C2791A9BEEC31_13</vt:lpwstr>
  </property>
  <property fmtid="{D5CDD505-2E9C-101B-9397-08002B2CF9AE}" pid="3" name="KSOProductBuildVer">
    <vt:lpwstr>2052-12.1.2.24730</vt:lpwstr>
  </property>
  <property fmtid="{D5CDD505-2E9C-101B-9397-08002B2CF9AE}" pid="4" name="KSOTemplateDocerSaveRecord">
    <vt:lpwstr>eyJoZGlkIjoiZWYxZDE0NDc0ZTkzMjZmZDI4ODZmMDI0MmI3NjRjNWIiLCJ1c2VySWQiOiIyMDYyODY4OTQifQ==</vt:lpwstr>
  </property>
</Properties>
</file>