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2778C">
      <w:pPr>
        <w:rPr>
          <w:rFonts w:hint="eastAsia" w:ascii="黑体" w:hAnsi="黑体" w:eastAsia="黑体" w:cs="黑体"/>
          <w:b/>
          <w:sz w:val="32"/>
          <w:szCs w:val="32"/>
          <w:highlight w:val="none"/>
          <w:lang w:val="en-US" w:eastAsia="zh-CN"/>
        </w:rPr>
      </w:pPr>
      <w:r>
        <w:rPr>
          <w:rFonts w:hint="eastAsia" w:ascii="黑体" w:hAnsi="黑体" w:eastAsia="黑体" w:cs="黑体"/>
          <w:bCs/>
          <w:sz w:val="32"/>
          <w:szCs w:val="32"/>
          <w:highlight w:val="none"/>
        </w:rPr>
        <w:t>附件</w:t>
      </w:r>
      <w:r>
        <w:rPr>
          <w:rFonts w:hint="eastAsia" w:ascii="黑体" w:hAnsi="黑体" w:eastAsia="黑体" w:cs="黑体"/>
          <w:bCs/>
          <w:sz w:val="32"/>
          <w:szCs w:val="32"/>
          <w:highlight w:val="none"/>
          <w:lang w:val="en-US" w:eastAsia="zh-CN"/>
        </w:rPr>
        <w:t>2</w:t>
      </w:r>
    </w:p>
    <w:p w14:paraId="7DEABFFA">
      <w:pPr>
        <w:jc w:val="center"/>
        <w:rPr>
          <w:rFonts w:ascii="方正小标宋简体" w:eastAsia="方正小标宋简体"/>
          <w:bCs/>
          <w:sz w:val="44"/>
          <w:szCs w:val="44"/>
          <w:highlight w:val="none"/>
        </w:rPr>
      </w:pPr>
    </w:p>
    <w:p w14:paraId="05E2B4E7">
      <w:pPr>
        <w:pStyle w:val="7"/>
        <w:spacing w:before="0" w:beforeAutospacing="0" w:after="0" w:afterAutospacing="0" w:line="600" w:lineRule="exact"/>
        <w:jc w:val="center"/>
        <w:outlineLvl w:val="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2026年山西省基础研究计划联合资助项目</w:t>
      </w:r>
    </w:p>
    <w:p w14:paraId="033822DF">
      <w:pPr>
        <w:pStyle w:val="7"/>
        <w:spacing w:before="0" w:beforeAutospacing="0" w:after="0" w:afterAutospacing="0" w:line="600" w:lineRule="exact"/>
        <w:jc w:val="center"/>
        <w:outlineLvl w:val="0"/>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w:t>
      </w:r>
      <w:r>
        <w:rPr>
          <w:rFonts w:hint="eastAsia" w:ascii="方正小标宋简体" w:hAnsi="方正小标宋简体" w:eastAsia="方正小标宋简体" w:cs="方正小标宋简体"/>
          <w:sz w:val="44"/>
          <w:szCs w:val="44"/>
          <w:highlight w:val="none"/>
          <w:lang w:val="en-US" w:eastAsia="zh-CN"/>
        </w:rPr>
        <w:t>建投</w:t>
      </w:r>
      <w:r>
        <w:rPr>
          <w:rFonts w:hint="eastAsia" w:ascii="方正小标宋简体" w:hAnsi="方正小标宋简体" w:eastAsia="方正小标宋简体" w:cs="方正小标宋简体"/>
          <w:sz w:val="44"/>
          <w:szCs w:val="44"/>
          <w:highlight w:val="none"/>
        </w:rPr>
        <w:t>）项目需求</w:t>
      </w:r>
    </w:p>
    <w:p w14:paraId="7623640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4378375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572D944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22AB005F">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0C2B283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bookmarkStart w:id="2" w:name="_GoBack"/>
      <w:bookmarkEnd w:id="2"/>
    </w:p>
    <w:p w14:paraId="355762A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7C0FF54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6E48E1B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29D4EA5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7948240C">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2E5F7D6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7C04EDB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5C5FBA95">
      <w:pPr>
        <w:jc w:val="center"/>
        <w:rPr>
          <w:rFonts w:ascii="黑体" w:hAnsi="黑体" w:eastAsia="黑体"/>
          <w:bCs/>
          <w:sz w:val="36"/>
          <w:highlight w:val="none"/>
        </w:rPr>
      </w:pPr>
      <w:r>
        <w:rPr>
          <w:rFonts w:hint="eastAsia" w:ascii="黑体" w:hAnsi="黑体" w:eastAsia="黑体"/>
          <w:bCs/>
          <w:sz w:val="36"/>
          <w:highlight w:val="none"/>
        </w:rPr>
        <w:t>2026年</w:t>
      </w:r>
      <w:r>
        <w:rPr>
          <w:rFonts w:hint="eastAsia" w:ascii="黑体" w:hAnsi="黑体" w:eastAsia="黑体"/>
          <w:bCs/>
          <w:sz w:val="36"/>
          <w:highlight w:val="none"/>
          <w:lang w:val="en-US" w:eastAsia="zh-CN"/>
        </w:rPr>
        <w:t>8</w:t>
      </w:r>
      <w:r>
        <w:rPr>
          <w:rFonts w:hint="eastAsia" w:ascii="黑体" w:hAnsi="黑体" w:eastAsia="黑体"/>
          <w:bCs/>
          <w:sz w:val="36"/>
          <w:highlight w:val="none"/>
        </w:rPr>
        <w:t>月</w:t>
      </w:r>
    </w:p>
    <w:p w14:paraId="0C1B7D77">
      <w:pPr>
        <w:spacing w:before="100" w:after="200"/>
        <w:jc w:val="center"/>
        <w:rPr>
          <w:rFonts w:ascii="方正小标宋_GBK" w:hAnsi="方正小标宋_GBK" w:eastAsia="方正小标宋_GBK" w:cs="方正小标宋_GBK"/>
          <w:sz w:val="36"/>
          <w:szCs w:val="32"/>
          <w:highlight w:val="none"/>
        </w:rPr>
      </w:pPr>
    </w:p>
    <w:p w14:paraId="5B06CDDF">
      <w:pPr>
        <w:spacing w:before="100" w:after="200"/>
        <w:jc w:val="center"/>
        <w:rPr>
          <w:rFonts w:ascii="方正小标宋_GBK" w:hAnsi="方正小标宋_GBK" w:eastAsia="方正小标宋_GBK" w:cs="方正小标宋_GBK"/>
          <w:sz w:val="36"/>
          <w:szCs w:val="32"/>
          <w:highlight w:val="none"/>
        </w:rPr>
      </w:pPr>
    </w:p>
    <w:p w14:paraId="3C2F1769">
      <w:pPr>
        <w:pStyle w:val="6"/>
        <w:tabs>
          <w:tab w:val="right" w:leader="dot" w:pos="8306"/>
        </w:tabs>
        <w:spacing w:before="312" w:beforeLines="100" w:line="960" w:lineRule="auto"/>
        <w:jc w:val="center"/>
        <w:outlineLvl w:val="0"/>
        <w:rPr>
          <w:rFonts w:ascii="方正小标宋简体" w:hAnsi="仿宋_GB2312" w:eastAsia="方正小标宋简体" w:cs="仿宋_GB2312"/>
          <w:szCs w:val="36"/>
          <w:highlight w:val="none"/>
        </w:rPr>
        <w:sectPr>
          <w:pgSz w:w="11906" w:h="16838"/>
          <w:pgMar w:top="2098" w:right="1474" w:bottom="1984" w:left="1587" w:header="720" w:footer="720" w:gutter="0"/>
          <w:pgNumType w:fmt="decimal" w:start="1"/>
          <w:cols w:space="720" w:num="1"/>
          <w:docGrid w:type="lines" w:linePitch="312" w:charSpace="0"/>
        </w:sectPr>
      </w:pPr>
      <w:bookmarkStart w:id="0" w:name="_Toc313896261"/>
    </w:p>
    <w:bookmarkEnd w:id="0"/>
    <w:p w14:paraId="2E2FCA35">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32"/>
          <w:szCs w:val="32"/>
          <w:highlight w:val="none"/>
        </w:rPr>
      </w:pPr>
      <w:bookmarkStart w:id="1" w:name="_Toc795621961"/>
      <w:r>
        <w:rPr>
          <w:rFonts w:hint="eastAsia" w:ascii="黑体" w:hAnsi="黑体" w:eastAsia="黑体" w:cs="黑体"/>
          <w:sz w:val="32"/>
          <w:szCs w:val="32"/>
          <w:highlight w:val="none"/>
          <w:lang w:eastAsia="zh-CN"/>
        </w:rPr>
        <w:t>重点</w:t>
      </w:r>
      <w:r>
        <w:rPr>
          <w:rFonts w:hint="eastAsia" w:ascii="黑体" w:hAnsi="黑体" w:eastAsia="黑体" w:cs="黑体"/>
          <w:sz w:val="32"/>
          <w:szCs w:val="32"/>
          <w:highlight w:val="none"/>
        </w:rPr>
        <w:t>项目（</w:t>
      </w:r>
      <w:r>
        <w:rPr>
          <w:rFonts w:hint="eastAsia" w:ascii="黑体" w:hAnsi="黑体" w:eastAsia="黑体" w:cs="黑体"/>
          <w:sz w:val="32"/>
          <w:szCs w:val="32"/>
          <w:highlight w:val="none"/>
          <w:lang w:val="en-US" w:eastAsia="zh-CN"/>
        </w:rPr>
        <w:t>2</w:t>
      </w:r>
      <w:r>
        <w:rPr>
          <w:rFonts w:hint="eastAsia" w:ascii="黑体" w:hAnsi="黑体" w:eastAsia="黑体" w:cs="黑体"/>
          <w:sz w:val="32"/>
          <w:szCs w:val="32"/>
          <w:highlight w:val="none"/>
        </w:rPr>
        <w:t>项）</w:t>
      </w:r>
    </w:p>
    <w:p w14:paraId="2017F2C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sz w:val="32"/>
          <w:szCs w:val="32"/>
          <w:highlight w:val="none"/>
        </w:rPr>
      </w:pPr>
    </w:p>
    <w:p w14:paraId="7C9EFC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1.煤矸石有机质对路基材料长期性能的影响机理及其性能改性技术研究（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8</w:t>
      </w:r>
      <w:r>
        <w:rPr>
          <w:rFonts w:hint="eastAsia" w:ascii="楷体_GB2312" w:hAnsi="楷体_GB2312" w:eastAsia="楷体_GB2312" w:cs="楷体_GB2312"/>
          <w:b w:val="0"/>
          <w:bCs/>
          <w:sz w:val="32"/>
          <w:szCs w:val="32"/>
          <w:highlight w:val="none"/>
        </w:rPr>
        <w:t>）</w:t>
      </w:r>
    </w:p>
    <w:p w14:paraId="08473276">
      <w:pPr>
        <w:ind w:firstLine="640" w:firstLineChars="200"/>
        <w:rPr>
          <w:rFonts w:hint="eastAsia" w:ascii="仿宋_GB2312" w:hAnsi="仿宋_GB2312" w:eastAsia="仿宋_GB2312" w:cs="仿宋_GB2312"/>
          <w:b w:val="0"/>
          <w:bCs w:val="0"/>
          <w:kern w:val="0"/>
          <w:sz w:val="32"/>
          <w:szCs w:val="32"/>
          <w:highlight w:val="none"/>
        </w:rPr>
      </w:pPr>
      <w:r>
        <w:rPr>
          <w:rFonts w:hint="eastAsia" w:ascii="仿宋_GB2312" w:hAnsi="仿宋_GB2312" w:eastAsia="仿宋_GB2312" w:cs="仿宋_GB2312"/>
          <w:b w:val="0"/>
          <w:bCs w:val="0"/>
          <w:kern w:val="0"/>
          <w:sz w:val="32"/>
          <w:szCs w:val="32"/>
          <w:highlight w:val="none"/>
        </w:rPr>
        <w:t>针对有机质煤矸石原材料性质波动大，导致路基材料稳定性差、长期耐久性不明等问题开展系统研究。全面表征煤矸石有机组分、颗粒级配、矿物组成及理化特性等内禀属性，探究有机质对水泥水化产物与骨料粘结性能、材料水稳性的影响规律，揭示有机质在路基长期服役中的演化机制，阐明其诱发材料强度衰减、耐久性劣化的核心机理。研发复合改性技术和性能调控、工程稳定化处置方法，构建煤矸石路基材料长效稳定方案。</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b w:val="0"/>
          <w:bCs w:val="0"/>
          <w:kern w:val="0"/>
          <w:sz w:val="32"/>
          <w:szCs w:val="32"/>
          <w:highlight w:val="none"/>
        </w:rPr>
        <w:t>揭示改性材料对煤矸石有机组分不利影响的抑制机制，研发配套工程改性技术，实现材料水稳定系数提升≥15%，长期强度衰减不超过15%，材料冻融循环后CBR值降低不超过12%，改性煤矸石材料性能满足现行公路路基规范要求，形成工程技术方案1套</w:t>
      </w:r>
      <w:r>
        <w:rPr>
          <w:rFonts w:hint="eastAsia" w:ascii="仿宋_GB2312" w:hAnsi="仿宋_GB2312" w:eastAsia="仿宋_GB2312" w:cs="仿宋_GB2312"/>
          <w:b w:val="0"/>
          <w:bCs w:val="0"/>
          <w:kern w:val="0"/>
          <w:sz w:val="32"/>
          <w:szCs w:val="32"/>
          <w:highlight w:val="none"/>
          <w:lang w:eastAsia="zh-CN"/>
        </w:rPr>
        <w:t>；申请</w:t>
      </w:r>
      <w:r>
        <w:rPr>
          <w:rFonts w:hint="eastAsia" w:ascii="仿宋_GB2312" w:hAnsi="仿宋_GB2312" w:eastAsia="仿宋_GB2312" w:cs="仿宋_GB2312"/>
          <w:b w:val="0"/>
          <w:bCs w:val="0"/>
          <w:kern w:val="0"/>
          <w:sz w:val="32"/>
          <w:szCs w:val="32"/>
          <w:highlight w:val="none"/>
        </w:rPr>
        <w:t>发明专利≥2项；发表高水平论文≥2篇；形成研究报告1份和工程技术指南1部。</w:t>
      </w:r>
    </w:p>
    <w:p w14:paraId="5F12D9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2</w:t>
      </w:r>
      <w:r>
        <w:rPr>
          <w:rFonts w:hint="eastAsia" w:ascii="楷体_GB2312" w:hAnsi="楷体_GB2312" w:eastAsia="楷体_GB2312" w:cs="楷体_GB2312"/>
          <w:b w:val="0"/>
          <w:bCs/>
          <w:sz w:val="32"/>
          <w:szCs w:val="32"/>
          <w:highlight w:val="none"/>
        </w:rPr>
        <w:t>.生物质灰基生化材料介导下盐碱土脱盐培肥技术及应用（</w:t>
      </w:r>
      <w:r>
        <w:rPr>
          <w:rFonts w:hint="eastAsia" w:ascii="楷体_GB2312" w:hAnsi="楷体_GB2312" w:eastAsia="楷体_GB2312" w:cs="楷体_GB2312"/>
          <w:b w:val="0"/>
          <w:bCs/>
          <w:sz w:val="32"/>
          <w:szCs w:val="32"/>
          <w:highlight w:val="none"/>
          <w:lang w:val="en-US" w:eastAsia="zh-CN"/>
        </w:rPr>
        <w:t>E1</w:t>
      </w:r>
      <w:r>
        <w:rPr>
          <w:rFonts w:hint="eastAsia" w:ascii="楷体_GB2312" w:hAnsi="楷体_GB2312" w:eastAsia="楷体_GB2312" w:cs="楷体_GB2312"/>
          <w:b w:val="0"/>
          <w:bCs/>
          <w:sz w:val="32"/>
          <w:szCs w:val="32"/>
          <w:highlight w:val="none"/>
        </w:rPr>
        <w:t>0）</w:t>
      </w:r>
    </w:p>
    <w:p w14:paraId="57D20AD7">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生物质灰渣资源化利用为研究目标，以构筑生物质灰的多功能复合生化土壤改良剂为核心技术，结合山西省典型盐碱土壤改良现状，旨在揭示改良剂与微生物协同调控盐碱土壤理化性质及根际微生态的作用机制，构建一套高效、经济且环境友好的盐碱土生态修复技术模式。通过优化材料配比与微生物接种条件，改善土壤结构、降低土壤碱化度、提升土壤养分可利用性，促进植物生长与微生物定殖，最终实现生物质电厂灰渣资源化利用，恢复盐碱地生态功能并提升耕地肥力，为区域盐碱土综合治理与可持续利用提供理论依据与技术支撑。</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技术水平：改良后土壤含盐量</w:t>
      </w:r>
      <w:r>
        <w:rPr>
          <w:rFonts w:hint="eastAsia" w:ascii="仿宋_GB2312" w:hAnsi="仿宋_GB2312" w:eastAsia="仿宋_GB2312" w:cs="仿宋_GB2312"/>
          <w:strike w:val="0"/>
          <w:dstrike w:val="0"/>
          <w:color w:val="auto"/>
          <w:kern w:val="0"/>
          <w:sz w:val="32"/>
          <w:szCs w:val="32"/>
          <w:highlight w:val="none"/>
        </w:rPr>
        <w:t>（全盐）</w:t>
      </w:r>
      <w:r>
        <w:rPr>
          <w:rFonts w:hint="eastAsia" w:ascii="仿宋_GB2312" w:hAnsi="仿宋_GB2312" w:eastAsia="仿宋_GB2312" w:cs="仿宋_GB2312"/>
          <w:kern w:val="0"/>
          <w:sz w:val="32"/>
          <w:szCs w:val="32"/>
          <w:highlight w:val="none"/>
        </w:rPr>
        <w:t>≤1.5</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g/kg，土壤pH＜7.5，土壤碱化度（ESP）≤15%，电导率（EC）≤2</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mS/cm，土壤有机</w:t>
      </w:r>
      <w:r>
        <w:rPr>
          <w:rFonts w:hint="eastAsia" w:ascii="仿宋_GB2312" w:hAnsi="仿宋_GB2312" w:eastAsia="仿宋_GB2312" w:cs="仿宋_GB2312"/>
          <w:color w:val="auto"/>
          <w:kern w:val="0"/>
          <w:sz w:val="32"/>
          <w:szCs w:val="32"/>
          <w:highlight w:val="none"/>
        </w:rPr>
        <w:t>质</w:t>
      </w:r>
      <w:r>
        <w:rPr>
          <w:rFonts w:hint="eastAsia" w:ascii="仿宋_GB2312" w:hAnsi="仿宋_GB2312" w:eastAsia="仿宋_GB2312" w:cs="仿宋_GB2312"/>
          <w:kern w:val="0"/>
          <w:sz w:val="32"/>
          <w:szCs w:val="32"/>
          <w:highlight w:val="none"/>
        </w:rPr>
        <w:t>≥12</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g/kg，有效磷≥20</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mg/kg，速效钾≥100</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mg/kg，</w:t>
      </w:r>
      <w:r>
        <w:rPr>
          <w:rFonts w:hint="eastAsia" w:ascii="仿宋_GB2312" w:hAnsi="仿宋_GB2312" w:eastAsia="仿宋_GB2312" w:cs="仿宋_GB2312"/>
          <w:strike w:val="0"/>
          <w:dstrike w:val="0"/>
          <w:color w:val="auto"/>
          <w:kern w:val="0"/>
          <w:sz w:val="32"/>
          <w:szCs w:val="32"/>
          <w:highlight w:val="none"/>
        </w:rPr>
        <w:t>碱性磷酸酶含量≥4800</w:t>
      </w:r>
      <w:r>
        <w:rPr>
          <w:rFonts w:hint="eastAsia" w:ascii="仿宋_GB2312" w:hAnsi="仿宋_GB2312" w:eastAsia="仿宋_GB2312" w:cs="仿宋_GB2312"/>
          <w:strike w:val="0"/>
          <w:color w:val="auto"/>
          <w:sz w:val="32"/>
          <w:szCs w:val="32"/>
          <w:highlight w:val="none"/>
        </w:rPr>
        <w:t xml:space="preserve"> </w:t>
      </w:r>
      <w:r>
        <w:rPr>
          <w:rFonts w:hint="eastAsia" w:ascii="仿宋_GB2312" w:hAnsi="仿宋_GB2312" w:eastAsia="仿宋_GB2312" w:cs="仿宋_GB2312"/>
          <w:strike w:val="0"/>
          <w:dstrike w:val="0"/>
          <w:color w:val="auto"/>
          <w:kern w:val="0"/>
          <w:sz w:val="32"/>
          <w:szCs w:val="32"/>
          <w:highlight w:val="none"/>
        </w:rPr>
        <w:t>U/g</w:t>
      </w:r>
      <w:r>
        <w:rPr>
          <w:rFonts w:hint="eastAsia" w:ascii="仿宋_GB2312" w:hAnsi="仿宋_GB2312" w:eastAsia="仿宋_GB2312" w:cs="仿宋_GB2312"/>
          <w:kern w:val="0"/>
          <w:sz w:val="32"/>
          <w:szCs w:val="32"/>
          <w:highlight w:val="none"/>
        </w:rPr>
        <w:t>，有效繁殖体≥50</w:t>
      </w:r>
      <w:r>
        <w:rPr>
          <w:rFonts w:hint="eastAsia" w:ascii="仿宋_GB2312" w:hAnsi="仿宋_GB2312" w:eastAsia="仿宋_GB2312" w:cs="仿宋_GB2312"/>
          <w:kern w:val="0"/>
          <w:sz w:val="32"/>
          <w:szCs w:val="32"/>
          <w:highlight w:val="none"/>
          <w:lang w:val="en-US" w:eastAsia="zh-CN"/>
        </w:rPr>
        <w:t xml:space="preserve"> </w:t>
      </w:r>
      <w:r>
        <w:rPr>
          <w:rFonts w:hint="eastAsia" w:ascii="仿宋_GB2312" w:hAnsi="仿宋_GB2312" w:eastAsia="仿宋_GB2312" w:cs="仿宋_GB2312"/>
          <w:kern w:val="0"/>
          <w:sz w:val="32"/>
          <w:szCs w:val="32"/>
          <w:highlight w:val="none"/>
        </w:rPr>
        <w:t>IPU/g，碱性土中改良剂有效寿命≥1年，改良剂再生率≥80%</w:t>
      </w:r>
      <w:r>
        <w:rPr>
          <w:rFonts w:hint="eastAsia" w:ascii="仿宋_GB2312" w:hAnsi="仿宋_GB2312" w:eastAsia="仿宋_GB2312" w:cs="仿宋_GB2312"/>
          <w:kern w:val="0"/>
          <w:sz w:val="32"/>
          <w:szCs w:val="32"/>
          <w:highlight w:val="none"/>
          <w:lang w:eastAsia="zh-CN"/>
        </w:rPr>
        <w:t>；申请</w:t>
      </w:r>
      <w:r>
        <w:rPr>
          <w:rFonts w:hint="eastAsia" w:ascii="仿宋_GB2312" w:hAnsi="仿宋_GB2312" w:eastAsia="仿宋_GB2312" w:cs="仿宋_GB2312"/>
          <w:kern w:val="0"/>
          <w:sz w:val="32"/>
          <w:szCs w:val="32"/>
          <w:highlight w:val="none"/>
        </w:rPr>
        <w:t>发明专利</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项；形成技术报告1项；发表SCI论文2篇。</w:t>
      </w:r>
    </w:p>
    <w:p w14:paraId="478A5F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rPr>
      </w:pPr>
    </w:p>
    <w:p w14:paraId="0955EFE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一般项目（</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lang w:eastAsia="zh-CN"/>
        </w:rPr>
        <w:t>项）</w:t>
      </w:r>
    </w:p>
    <w:p w14:paraId="4B3D7C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p>
    <w:bookmarkEnd w:id="1"/>
    <w:p w14:paraId="499B99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3</w:t>
      </w:r>
      <w:r>
        <w:rPr>
          <w:rFonts w:hint="eastAsia" w:ascii="楷体_GB2312" w:hAnsi="楷体_GB2312" w:eastAsia="楷体_GB2312" w:cs="楷体_GB2312"/>
          <w:b w:val="0"/>
          <w:bCs/>
          <w:sz w:val="32"/>
          <w:szCs w:val="32"/>
          <w:highlight w:val="none"/>
        </w:rPr>
        <w:t>.CFB粉煤灰-煤矸石基固废胶凝填料制备关键技术与公路基层应用研究（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8</w:t>
      </w:r>
      <w:r>
        <w:rPr>
          <w:rFonts w:hint="eastAsia" w:ascii="楷体_GB2312" w:hAnsi="楷体_GB2312" w:eastAsia="楷体_GB2312" w:cs="楷体_GB2312"/>
          <w:b w:val="0"/>
          <w:bCs/>
          <w:sz w:val="32"/>
          <w:szCs w:val="32"/>
          <w:highlight w:val="none"/>
        </w:rPr>
        <w:t>）</w:t>
      </w:r>
    </w:p>
    <w:p w14:paraId="33695205">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针对高硫高钙循环硫化床（</w:t>
      </w:r>
      <w:r>
        <w:rPr>
          <w:rStyle w:val="13"/>
          <w:rFonts w:hint="eastAsia" w:ascii="仿宋" w:hAnsi="仿宋" w:eastAsia="仿宋" w:cs="仿宋"/>
          <w:kern w:val="2"/>
          <w:sz w:val="24"/>
          <w:szCs w:val="24"/>
          <w:highlight w:val="none"/>
          <w:lang w:val="en-US" w:eastAsia="zh" w:bidi="ar"/>
        </w:rPr>
        <w:t xml:space="preserve">Circulating Fluidized Bed, </w:t>
      </w:r>
      <w:r>
        <w:rPr>
          <w:rFonts w:hint="eastAsia" w:ascii="仿宋_GB2312" w:hAnsi="仿宋_GB2312" w:eastAsia="仿宋_GB2312" w:cs="仿宋_GB2312"/>
          <w:kern w:val="0"/>
          <w:sz w:val="32"/>
          <w:szCs w:val="32"/>
          <w:highlight w:val="none"/>
        </w:rPr>
        <w:t>CFB）粉煤灰体积安定性差、煤矸石高值化路径不足、双固废协同性差、碳核算方法不完善等问题，研发CFB粉煤灰-煤矸石基固废协同碱激发胶凝填料制备与工程应用技术，</w:t>
      </w:r>
      <w:r>
        <w:rPr>
          <w:rFonts w:hint="eastAsia" w:ascii="仿宋_GB2312" w:hAnsi="仿宋_GB2312" w:eastAsia="仿宋_GB2312" w:cs="仿宋_GB2312"/>
          <w:strike w:val="0"/>
          <w:dstrike w:val="0"/>
          <w:color w:val="auto"/>
          <w:kern w:val="0"/>
          <w:sz w:val="32"/>
          <w:szCs w:val="32"/>
          <w:highlight w:val="none"/>
        </w:rPr>
        <w:t>创新梯度活性调控、硫组分固化与界面协同强化方法，融合水化机理、路用服役性能和全生命周期碳核算要求，优化配合比设计与施工质量控制，构建覆盖功能单位、系统边界、区域排放因子、替代效益和追溯数据的碳核算方法，</w:t>
      </w:r>
      <w:r>
        <w:rPr>
          <w:rFonts w:hint="eastAsia" w:ascii="仿宋_GB2312" w:hAnsi="仿宋_GB2312" w:eastAsia="仿宋_GB2312" w:cs="仿宋_GB2312"/>
          <w:kern w:val="0"/>
          <w:sz w:val="32"/>
          <w:szCs w:val="32"/>
          <w:highlight w:val="none"/>
        </w:rPr>
        <w:t>实现两种煤基固废协同高效消纳与低碳应用。</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固废总掺量≥75%，7</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d、28</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d无侧限抗压强度分别≥4.5 MPa、6 MPa；体积安定性</w:t>
      </w:r>
      <w:r>
        <w:rPr>
          <w:rFonts w:hint="eastAsia" w:ascii="仿宋_GB2312" w:hAnsi="仿宋_GB2312" w:eastAsia="仿宋_GB2312" w:cs="仿宋_GB2312"/>
          <w:strike w:val="0"/>
          <w:dstrike w:val="0"/>
          <w:color w:val="auto"/>
          <w:kern w:val="0"/>
          <w:sz w:val="32"/>
          <w:szCs w:val="32"/>
          <w:highlight w:val="none"/>
        </w:rPr>
        <w:t>经沸煮法检验</w:t>
      </w:r>
      <w:r>
        <w:rPr>
          <w:rFonts w:hint="eastAsia" w:ascii="仿宋_GB2312" w:hAnsi="仿宋_GB2312" w:eastAsia="仿宋_GB2312" w:cs="仿宋_GB2312"/>
          <w:kern w:val="0"/>
          <w:sz w:val="32"/>
          <w:szCs w:val="32"/>
          <w:highlight w:val="none"/>
        </w:rPr>
        <w:t>合格，28</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d干燥收缩率≤0.04%，抗硫酸盐</w:t>
      </w:r>
      <w:r>
        <w:rPr>
          <w:rFonts w:hint="eastAsia" w:ascii="仿宋_GB2312" w:hAnsi="仿宋_GB2312" w:eastAsia="仿宋_GB2312" w:cs="仿宋_GB2312"/>
          <w:strike w:val="0"/>
          <w:dstrike w:val="0"/>
          <w:color w:val="auto"/>
          <w:kern w:val="0"/>
          <w:sz w:val="32"/>
          <w:szCs w:val="32"/>
          <w:highlight w:val="none"/>
        </w:rPr>
        <w:t>侵蚀</w:t>
      </w:r>
      <w:r>
        <w:rPr>
          <w:rFonts w:hint="eastAsia" w:ascii="仿宋_GB2312" w:hAnsi="仿宋_GB2312" w:eastAsia="仿宋_GB2312" w:cs="仿宋_GB2312"/>
          <w:kern w:val="0"/>
          <w:sz w:val="32"/>
          <w:szCs w:val="32"/>
          <w:highlight w:val="none"/>
        </w:rPr>
        <w:t>等级≥KS90；</w:t>
      </w:r>
      <w:r>
        <w:rPr>
          <w:rFonts w:hint="eastAsia" w:ascii="仿宋_GB2312" w:hAnsi="仿宋_GB2312" w:eastAsia="仿宋_GB2312" w:cs="仿宋_GB2312"/>
          <w:strike w:val="0"/>
          <w:dstrike w:val="0"/>
          <w:color w:val="auto"/>
          <w:kern w:val="0"/>
          <w:sz w:val="32"/>
          <w:szCs w:val="32"/>
          <w:highlight w:val="none"/>
        </w:rPr>
        <w:t>形成规模化生产工艺1套，</w:t>
      </w:r>
      <w:r>
        <w:rPr>
          <w:rFonts w:hint="eastAsia" w:ascii="仿宋_GB2312" w:hAnsi="仿宋_GB2312" w:eastAsia="仿宋_GB2312" w:cs="仿宋_GB2312"/>
          <w:kern w:val="0"/>
          <w:sz w:val="32"/>
          <w:szCs w:val="32"/>
          <w:highlight w:val="none"/>
        </w:rPr>
        <w:t>完成≥10 km</w:t>
      </w:r>
      <w:r>
        <w:rPr>
          <w:rFonts w:hint="eastAsia" w:ascii="仿宋_GB2312" w:hAnsi="仿宋_GB2312" w:eastAsia="仿宋_GB2312" w:cs="仿宋_GB2312"/>
          <w:strike w:val="0"/>
          <w:dstrike w:val="0"/>
          <w:color w:val="auto"/>
          <w:kern w:val="0"/>
          <w:sz w:val="32"/>
          <w:szCs w:val="32"/>
          <w:highlight w:val="none"/>
          <w:lang w:eastAsia="zh-CN"/>
        </w:rPr>
        <w:t>道路</w:t>
      </w:r>
      <w:r>
        <w:rPr>
          <w:rFonts w:hint="eastAsia" w:ascii="仿宋_GB2312" w:hAnsi="仿宋_GB2312" w:eastAsia="仿宋_GB2312" w:cs="仿宋_GB2312"/>
          <w:kern w:val="0"/>
          <w:sz w:val="32"/>
          <w:szCs w:val="32"/>
          <w:highlight w:val="none"/>
        </w:rPr>
        <w:t>工程示范；</w:t>
      </w:r>
      <w:r>
        <w:rPr>
          <w:rFonts w:hint="eastAsia" w:ascii="仿宋_GB2312" w:hAnsi="仿宋_GB2312" w:eastAsia="仿宋_GB2312" w:cs="仿宋_GB2312"/>
          <w:strike w:val="0"/>
          <w:dstrike w:val="0"/>
          <w:color w:val="auto"/>
          <w:kern w:val="0"/>
          <w:sz w:val="32"/>
          <w:szCs w:val="32"/>
          <w:highlight w:val="none"/>
        </w:rPr>
        <w:t>建立全生命周期碳核算方法学模型1套</w:t>
      </w:r>
      <w:r>
        <w:rPr>
          <w:rFonts w:hint="eastAsia" w:ascii="仿宋_GB2312" w:hAnsi="仿宋_GB2312" w:eastAsia="仿宋_GB2312" w:cs="仿宋_GB2312"/>
          <w:strike w:val="0"/>
          <w:dstrike w:val="0"/>
          <w:color w:val="auto"/>
          <w:kern w:val="0"/>
          <w:sz w:val="32"/>
          <w:szCs w:val="32"/>
          <w:highlight w:val="none"/>
          <w:lang w:eastAsia="zh-CN"/>
        </w:rPr>
        <w:t>；</w:t>
      </w:r>
      <w:r>
        <w:rPr>
          <w:rFonts w:hint="eastAsia" w:ascii="仿宋_GB2312" w:hAnsi="仿宋_GB2312" w:eastAsia="仿宋_GB2312" w:cs="仿宋_GB2312"/>
          <w:kern w:val="0"/>
          <w:sz w:val="32"/>
          <w:szCs w:val="32"/>
          <w:highlight w:val="none"/>
        </w:rPr>
        <w:t>申请发明专利≥1项；发表高水平论文≥2篇；</w:t>
      </w:r>
      <w:r>
        <w:rPr>
          <w:rFonts w:hint="eastAsia" w:ascii="仿宋_GB2312" w:hAnsi="仿宋_GB2312" w:eastAsia="仿宋_GB2312" w:cs="仿宋_GB2312"/>
          <w:strike w:val="0"/>
          <w:dstrike w:val="0"/>
          <w:color w:val="auto"/>
          <w:kern w:val="0"/>
          <w:sz w:val="32"/>
          <w:szCs w:val="32"/>
          <w:highlight w:val="none"/>
        </w:rPr>
        <w:t>编制地方标准、团体标准或碳核算指南1部；</w:t>
      </w:r>
      <w:r>
        <w:rPr>
          <w:rFonts w:hint="eastAsia" w:ascii="仿宋_GB2312" w:hAnsi="仿宋_GB2312" w:eastAsia="仿宋_GB2312" w:cs="仿宋_GB2312"/>
          <w:kern w:val="0"/>
          <w:sz w:val="32"/>
          <w:szCs w:val="32"/>
          <w:highlight w:val="none"/>
        </w:rPr>
        <w:t>形成示范项目碳核算评价报告1份。</w:t>
      </w:r>
    </w:p>
    <w:p w14:paraId="15D769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4</w:t>
      </w:r>
      <w:r>
        <w:rPr>
          <w:rFonts w:hint="eastAsia" w:ascii="楷体_GB2312" w:hAnsi="楷体_GB2312" w:eastAsia="楷体_GB2312" w:cs="楷体_GB2312"/>
          <w:b w:val="0"/>
          <w:bCs/>
          <w:sz w:val="32"/>
          <w:szCs w:val="32"/>
          <w:highlight w:val="none"/>
        </w:rPr>
        <w:t>.装配式轻钢—轻混凝土结构体系研发（</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8</w:t>
      </w:r>
      <w:r>
        <w:rPr>
          <w:rFonts w:hint="eastAsia" w:ascii="楷体_GB2312" w:hAnsi="楷体_GB2312" w:eastAsia="楷体_GB2312" w:cs="楷体_GB2312"/>
          <w:b w:val="0"/>
          <w:bCs/>
          <w:sz w:val="32"/>
          <w:szCs w:val="32"/>
          <w:highlight w:val="none"/>
        </w:rPr>
        <w:t>）</w:t>
      </w:r>
    </w:p>
    <w:p w14:paraId="7B464FD7">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围绕</w:t>
      </w:r>
      <w:r>
        <w:rPr>
          <w:rFonts w:hint="eastAsia" w:ascii="仿宋_GB2312" w:hAnsi="仿宋_GB2312" w:eastAsia="仿宋_GB2312" w:cs="仿宋_GB2312"/>
          <w:b w:val="0"/>
          <w:bCs w:val="0"/>
          <w:strike w:val="0"/>
          <w:dstrike w:val="0"/>
          <w:color w:val="auto"/>
          <w:kern w:val="0"/>
          <w:sz w:val="32"/>
          <w:szCs w:val="32"/>
          <w:highlight w:val="none"/>
        </w:rPr>
        <w:t>新型轻钢-轻骨料混凝土结构体系</w:t>
      </w:r>
      <w:r>
        <w:rPr>
          <w:rFonts w:hint="eastAsia" w:ascii="仿宋_GB2312" w:hAnsi="仿宋_GB2312" w:eastAsia="仿宋_GB2312" w:cs="仿宋_GB2312"/>
          <w:kern w:val="0"/>
          <w:sz w:val="32"/>
          <w:szCs w:val="32"/>
          <w:highlight w:val="none"/>
        </w:rPr>
        <w:t>装配式轻钢-轻混凝土PEC结构体系，采用有限元模拟与理论分析、试验，揭示多种荷载工况下的破坏机理、承载力、变形及耗能机制，评估承载与抗震性能。</w:t>
      </w:r>
      <w:r>
        <w:rPr>
          <w:rFonts w:hint="eastAsia" w:ascii="仿宋_GB2312" w:hAnsi="仿宋_GB2312" w:eastAsia="仿宋_GB2312" w:cs="仿宋_GB2312"/>
          <w:strike w:val="0"/>
          <w:dstrike w:val="0"/>
          <w:color w:val="auto"/>
          <w:kern w:val="0"/>
          <w:sz w:val="32"/>
          <w:szCs w:val="32"/>
          <w:highlight w:val="none"/>
        </w:rPr>
        <w:t>提出基于PEC结构组合机理的承载力设计方法，形成一套可预测PEC结构体系承载力软件系统</w:t>
      </w:r>
      <w:r>
        <w:rPr>
          <w:rFonts w:hint="eastAsia" w:ascii="仿宋_GB2312" w:hAnsi="仿宋_GB2312" w:eastAsia="仿宋_GB2312" w:cs="仿宋_GB2312"/>
          <w:strike w:val="0"/>
          <w:dstrike w:val="0"/>
          <w:color w:val="auto"/>
          <w:kern w:val="0"/>
          <w:sz w:val="32"/>
          <w:szCs w:val="32"/>
          <w:highlight w:val="none"/>
          <w:lang w:eastAsia="zh-CN"/>
        </w:rPr>
        <w:t>；</w:t>
      </w:r>
      <w:r>
        <w:rPr>
          <w:rFonts w:hint="eastAsia" w:ascii="仿宋_GB2312" w:hAnsi="仿宋_GB2312" w:eastAsia="仿宋_GB2312" w:cs="仿宋_GB2312"/>
          <w:kern w:val="0"/>
          <w:sz w:val="32"/>
          <w:szCs w:val="32"/>
          <w:highlight w:val="none"/>
        </w:rPr>
        <w:t>研制PEC用高性能轻骨料混凝土；创新PEC梁柱截面与构造形式；优化墙板、叠合板与PEC结构的节点连接；研究大宽厚比截面的局部屈曲行为，提出宽厚比限值方法，建立承载力设计理论并开发分析软件；提出面向工程设计的快速智能选型方案。</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b w:val="0"/>
          <w:bCs w:val="0"/>
          <w:kern w:val="0"/>
          <w:sz w:val="32"/>
          <w:szCs w:val="32"/>
          <w:highlight w:val="none"/>
        </w:rPr>
        <w:t>研发PEC用轻骨料混凝土（密度≤1700 kg/m</w:t>
      </w:r>
      <w:r>
        <w:rPr>
          <w:rFonts w:hint="eastAsia" w:ascii="仿宋_GB2312" w:hAnsi="仿宋_GB2312" w:eastAsia="仿宋_GB2312" w:cs="仿宋_GB2312"/>
          <w:b w:val="0"/>
          <w:bCs w:val="0"/>
          <w:kern w:val="0"/>
          <w:sz w:val="32"/>
          <w:szCs w:val="32"/>
          <w:highlight w:val="none"/>
          <w:vertAlign w:val="superscript"/>
          <w:lang w:val="en-US" w:eastAsia="zh-CN"/>
        </w:rPr>
        <w:t>3</w:t>
      </w:r>
      <w:r>
        <w:rPr>
          <w:rFonts w:hint="eastAsia" w:ascii="仿宋_GB2312" w:hAnsi="仿宋_GB2312" w:eastAsia="仿宋_GB2312" w:cs="仿宋_GB2312"/>
          <w:b w:val="0"/>
          <w:bCs w:val="0"/>
          <w:kern w:val="0"/>
          <w:sz w:val="32"/>
          <w:szCs w:val="32"/>
          <w:highlight w:val="none"/>
        </w:rPr>
        <w:t>）；创新轻钢轻骨料混凝土PEC梁柱构造形式，在满足承载力的基础上结构体系减重30%以上；优化梁柱与轻质墙板和楼板的节点连接方案，施工效率提升≥30%；培养</w:t>
      </w:r>
      <w:r>
        <w:rPr>
          <w:rFonts w:hint="eastAsia" w:ascii="仿宋_GB2312" w:hAnsi="仿宋_GB2312" w:eastAsia="仿宋_GB2312" w:cs="仿宋_GB2312"/>
          <w:b w:val="0"/>
          <w:bCs w:val="0"/>
          <w:kern w:val="0"/>
          <w:sz w:val="32"/>
          <w:szCs w:val="32"/>
          <w:highlight w:val="none"/>
          <w:lang w:eastAsia="zh-CN"/>
        </w:rPr>
        <w:t>研究生</w:t>
      </w:r>
      <w:r>
        <w:rPr>
          <w:rFonts w:hint="eastAsia" w:ascii="仿宋_GB2312" w:hAnsi="仿宋_GB2312" w:eastAsia="仿宋_GB2312" w:cs="仿宋_GB2312"/>
          <w:b w:val="0"/>
          <w:bCs w:val="0"/>
          <w:kern w:val="0"/>
          <w:sz w:val="32"/>
          <w:szCs w:val="32"/>
          <w:highlight w:val="none"/>
          <w:lang w:val="en-US" w:eastAsia="zh-CN"/>
        </w:rPr>
        <w:t>5</w:t>
      </w:r>
      <w:r>
        <w:rPr>
          <w:rFonts w:hint="eastAsia" w:ascii="仿宋_GB2312" w:hAnsi="仿宋_GB2312" w:eastAsia="仿宋_GB2312" w:cs="仿宋_GB2312"/>
          <w:b w:val="0"/>
          <w:bCs w:val="0"/>
          <w:kern w:val="0"/>
          <w:sz w:val="32"/>
          <w:szCs w:val="32"/>
          <w:highlight w:val="none"/>
        </w:rPr>
        <w:t>名；申请发明专利2项；发表高水平论文6篇（其中SCI论文3篇）；登记软件著作权2项；形成研究报告1份和工程技术指南1部。</w:t>
      </w:r>
    </w:p>
    <w:p w14:paraId="021481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.液压动臂塔式起重机液压系统技术研究（</w:t>
      </w:r>
      <w:r>
        <w:rPr>
          <w:rFonts w:hint="eastAsia" w:ascii="楷体_GB2312" w:hAnsi="楷体_GB2312" w:eastAsia="楷体_GB2312" w:cs="楷体_GB2312"/>
          <w:b w:val="0"/>
          <w:bCs/>
          <w:sz w:val="32"/>
          <w:szCs w:val="32"/>
          <w:highlight w:val="none"/>
          <w:lang w:val="en-US" w:eastAsia="zh-CN"/>
        </w:rPr>
        <w:t>F</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w:t>
      </w:r>
    </w:p>
    <w:p w14:paraId="6B300C4E">
      <w:pPr>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kern w:val="0"/>
          <w:sz w:val="32"/>
          <w:szCs w:val="32"/>
          <w:highlight w:val="none"/>
        </w:rPr>
        <w:t>针对动臂塔式起重机传统液压系统存在能耗高、在轻载或怠速工况下，控制精度不足，作业过程中易出现冲击、抖动等问题，</w:t>
      </w:r>
      <w:r>
        <w:rPr>
          <w:rFonts w:hint="eastAsia" w:ascii="仿宋_GB2312" w:hAnsi="仿宋_GB2312" w:eastAsia="仿宋_GB2312" w:cs="仿宋_GB2312"/>
          <w:b w:val="0"/>
          <w:bCs w:val="0"/>
          <w:kern w:val="0"/>
          <w:sz w:val="32"/>
          <w:szCs w:val="32"/>
          <w:highlight w:val="none"/>
          <w:lang w:eastAsia="zh-CN"/>
        </w:rPr>
        <w:t>以JTL125-8型号8吨位的液压动臂塔式起重机为研究对象，</w:t>
      </w:r>
      <w:r>
        <w:rPr>
          <w:rFonts w:hint="eastAsia" w:ascii="仿宋_GB2312" w:hAnsi="仿宋_GB2312" w:eastAsia="仿宋_GB2312" w:cs="仿宋_GB2312"/>
          <w:kern w:val="0"/>
          <w:sz w:val="32"/>
          <w:szCs w:val="32"/>
          <w:highlight w:val="none"/>
        </w:rPr>
        <w:t>开展</w:t>
      </w:r>
      <w:r>
        <w:rPr>
          <w:rFonts w:hint="eastAsia" w:ascii="仿宋_GB2312" w:hAnsi="仿宋_GB2312" w:eastAsia="仿宋_GB2312" w:cs="仿宋_GB2312"/>
          <w:kern w:val="0"/>
          <w:sz w:val="32"/>
          <w:szCs w:val="32"/>
          <w:highlight w:val="none"/>
          <w:lang w:eastAsia="zh-CN"/>
        </w:rPr>
        <w:t>对其</w:t>
      </w:r>
      <w:r>
        <w:rPr>
          <w:rFonts w:hint="eastAsia" w:ascii="仿宋_GB2312" w:hAnsi="仿宋_GB2312" w:eastAsia="仿宋_GB2312" w:cs="仿宋_GB2312"/>
          <w:kern w:val="0"/>
          <w:sz w:val="32"/>
          <w:szCs w:val="32"/>
          <w:highlight w:val="none"/>
        </w:rPr>
        <w:t>液压系统性能提升关键技术研究，基于动态模型的优化，通过系统构型的改进，精准实现不同工况下系统的最佳匹配，</w:t>
      </w:r>
      <w:r>
        <w:rPr>
          <w:rFonts w:hint="eastAsia" w:ascii="仿宋_GB2312" w:hAnsi="仿宋_GB2312" w:eastAsia="仿宋_GB2312" w:cs="仿宋_GB2312"/>
          <w:color w:val="auto"/>
          <w:kern w:val="0"/>
          <w:sz w:val="32"/>
          <w:szCs w:val="32"/>
          <w:highlight w:val="none"/>
          <w:lang w:eastAsia="zh-CN"/>
        </w:rPr>
        <w:t>形成</w:t>
      </w:r>
      <w:r>
        <w:rPr>
          <w:rFonts w:hint="eastAsia" w:ascii="仿宋_GB2312" w:hAnsi="仿宋_GB2312" w:eastAsia="仿宋_GB2312" w:cs="仿宋_GB2312"/>
          <w:kern w:val="0"/>
          <w:sz w:val="32"/>
          <w:szCs w:val="32"/>
          <w:highlight w:val="none"/>
        </w:rPr>
        <w:t>完整设计理论，开发出节能、高效、精准、可靠、智能的液压系统，促进塔式起重机产业升级，实现塔机的智能化</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绿色化发展。</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b w:val="0"/>
          <w:bCs w:val="0"/>
          <w:kern w:val="0"/>
          <w:sz w:val="32"/>
          <w:szCs w:val="32"/>
          <w:highlight w:val="none"/>
        </w:rPr>
        <w:t>实现液压系统能耗较传统定量泵系统降低15%以上，系统发热量降低20%以上；吊起最大起重量</w:t>
      </w:r>
      <w:r>
        <w:rPr>
          <w:rFonts w:hint="eastAsia" w:ascii="仿宋_GB2312" w:hAnsi="仿宋_GB2312" w:eastAsia="仿宋_GB2312" w:cs="仿宋_GB2312"/>
          <w:b w:val="0"/>
          <w:bCs w:val="0"/>
          <w:kern w:val="0"/>
          <w:sz w:val="32"/>
          <w:szCs w:val="32"/>
          <w:highlight w:val="none"/>
          <w:lang w:val="en-US" w:eastAsia="zh-CN"/>
        </w:rPr>
        <w:t>8吨</w:t>
      </w:r>
      <w:r>
        <w:rPr>
          <w:rFonts w:hint="eastAsia" w:ascii="仿宋_GB2312" w:hAnsi="仿宋_GB2312" w:eastAsia="仿宋_GB2312" w:cs="仿宋_GB2312"/>
          <w:b w:val="0"/>
          <w:bCs w:val="0"/>
          <w:kern w:val="0"/>
          <w:sz w:val="32"/>
          <w:szCs w:val="32"/>
          <w:highlight w:val="none"/>
        </w:rPr>
        <w:t>，向内变幅依旧可以满足最大变幅速度要求，动臂变幅速度控制精度≤±5%，重物升降速度控制精度≤±3%，满足高精度构件安装需求</w:t>
      </w:r>
      <w:r>
        <w:rPr>
          <w:rFonts w:hint="eastAsia" w:ascii="仿宋_GB2312" w:hAnsi="仿宋_GB2312" w:eastAsia="仿宋_GB2312" w:cs="仿宋_GB2312"/>
          <w:b w:val="0"/>
          <w:bCs w:val="0"/>
          <w:kern w:val="0"/>
          <w:sz w:val="32"/>
          <w:szCs w:val="32"/>
          <w:highlight w:val="none"/>
          <w:lang w:eastAsia="zh-CN"/>
        </w:rPr>
        <w:t>；申请</w:t>
      </w:r>
      <w:r>
        <w:rPr>
          <w:rFonts w:hint="eastAsia" w:ascii="仿宋_GB2312" w:hAnsi="仿宋_GB2312" w:eastAsia="仿宋_GB2312" w:cs="仿宋_GB2312"/>
          <w:b w:val="0"/>
          <w:bCs w:val="0"/>
          <w:kern w:val="0"/>
          <w:sz w:val="32"/>
          <w:szCs w:val="32"/>
          <w:highlight w:val="none"/>
        </w:rPr>
        <w:t>发明专利1项、</w:t>
      </w:r>
      <w:r>
        <w:rPr>
          <w:rFonts w:hint="eastAsia" w:ascii="仿宋_GB2312" w:hAnsi="仿宋_GB2312" w:eastAsia="仿宋_GB2312" w:cs="仿宋_GB2312"/>
          <w:b w:val="0"/>
          <w:bCs w:val="0"/>
          <w:kern w:val="0"/>
          <w:sz w:val="32"/>
          <w:szCs w:val="32"/>
          <w:highlight w:val="none"/>
          <w:lang w:eastAsia="zh-CN"/>
        </w:rPr>
        <w:t>申请</w:t>
      </w:r>
      <w:r>
        <w:rPr>
          <w:rFonts w:hint="eastAsia" w:ascii="仿宋_GB2312" w:hAnsi="仿宋_GB2312" w:eastAsia="仿宋_GB2312" w:cs="仿宋_GB2312"/>
          <w:b w:val="0"/>
          <w:bCs w:val="0"/>
          <w:kern w:val="0"/>
          <w:sz w:val="32"/>
          <w:szCs w:val="32"/>
          <w:highlight w:val="none"/>
        </w:rPr>
        <w:t>实用新型专利1项</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rPr>
        <w:t>发表学术论文2篇。</w:t>
      </w:r>
    </w:p>
    <w:sectPr>
      <w:footerReference r:id="rId3" w:type="default"/>
      <w:pgSz w:w="11906" w:h="16838"/>
      <w:pgMar w:top="2098" w:right="1474" w:bottom="1984" w:left="1587" w:header="720" w:footer="1474"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93038">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FAC8B4C">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eastAsia="zh-CN"/>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4XqNgMQIAAGMEAAAOAAAAAAAAAAEAIAAAAB8BAABkcnMvZTJvRG9jLnhtbFBLBQYA&#10;AAAABgAGAFkBAADCBQAAAAA=&#10;">
              <v:fill on="f" focussize="0,0"/>
              <v:stroke on="f" weight="0.5pt"/>
              <v:imagedata o:title=""/>
              <o:lock v:ext="edit" aspectratio="f"/>
              <v:textbox inset="0mm,0mm,0mm,0mm" style="mso-fit-shape-to-text:t;">
                <w:txbxContent>
                  <w:p w14:paraId="2FAC8B4C">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F9293"/>
    <w:rsid w:val="00026D43"/>
    <w:rsid w:val="000A7C48"/>
    <w:rsid w:val="000B0471"/>
    <w:rsid w:val="000D7BA8"/>
    <w:rsid w:val="001146BB"/>
    <w:rsid w:val="00150D08"/>
    <w:rsid w:val="00161887"/>
    <w:rsid w:val="001A5DF6"/>
    <w:rsid w:val="001B530F"/>
    <w:rsid w:val="002347E0"/>
    <w:rsid w:val="0023585C"/>
    <w:rsid w:val="002F4B14"/>
    <w:rsid w:val="00313B8A"/>
    <w:rsid w:val="0033496D"/>
    <w:rsid w:val="00353D4A"/>
    <w:rsid w:val="00382019"/>
    <w:rsid w:val="00414322"/>
    <w:rsid w:val="00437C9B"/>
    <w:rsid w:val="004637BE"/>
    <w:rsid w:val="00476E30"/>
    <w:rsid w:val="004C3827"/>
    <w:rsid w:val="0053038C"/>
    <w:rsid w:val="005430F6"/>
    <w:rsid w:val="005A0C4A"/>
    <w:rsid w:val="005B5228"/>
    <w:rsid w:val="005E30E8"/>
    <w:rsid w:val="005E33E3"/>
    <w:rsid w:val="0063046D"/>
    <w:rsid w:val="006A1994"/>
    <w:rsid w:val="006C014F"/>
    <w:rsid w:val="006D0486"/>
    <w:rsid w:val="006F0C6C"/>
    <w:rsid w:val="006F35E4"/>
    <w:rsid w:val="007314A5"/>
    <w:rsid w:val="007A19F3"/>
    <w:rsid w:val="007D2E35"/>
    <w:rsid w:val="00821941"/>
    <w:rsid w:val="00833438"/>
    <w:rsid w:val="008654D5"/>
    <w:rsid w:val="008A1AC6"/>
    <w:rsid w:val="008E0536"/>
    <w:rsid w:val="009A76E6"/>
    <w:rsid w:val="009C3541"/>
    <w:rsid w:val="009D19D5"/>
    <w:rsid w:val="00A30458"/>
    <w:rsid w:val="00A56FC2"/>
    <w:rsid w:val="00AB2C0D"/>
    <w:rsid w:val="00B1110C"/>
    <w:rsid w:val="00B43B50"/>
    <w:rsid w:val="00B660EB"/>
    <w:rsid w:val="00BB41BA"/>
    <w:rsid w:val="00C000B9"/>
    <w:rsid w:val="00C257A9"/>
    <w:rsid w:val="00C33CD1"/>
    <w:rsid w:val="00C42C0B"/>
    <w:rsid w:val="00C53906"/>
    <w:rsid w:val="00C771BF"/>
    <w:rsid w:val="00C8141C"/>
    <w:rsid w:val="00CE7D72"/>
    <w:rsid w:val="00D04B2C"/>
    <w:rsid w:val="00D822C2"/>
    <w:rsid w:val="00DB074F"/>
    <w:rsid w:val="00E21FC8"/>
    <w:rsid w:val="00EE424F"/>
    <w:rsid w:val="00EF60BF"/>
    <w:rsid w:val="00F32897"/>
    <w:rsid w:val="00FC3F6B"/>
    <w:rsid w:val="00FF044F"/>
    <w:rsid w:val="00FF585C"/>
    <w:rsid w:val="029F5991"/>
    <w:rsid w:val="0A34384D"/>
    <w:rsid w:val="13981EC5"/>
    <w:rsid w:val="13BF4C25"/>
    <w:rsid w:val="15DD3DC4"/>
    <w:rsid w:val="18AA2C29"/>
    <w:rsid w:val="20CF1261"/>
    <w:rsid w:val="20FF0F94"/>
    <w:rsid w:val="255811BE"/>
    <w:rsid w:val="2BDC1404"/>
    <w:rsid w:val="2BF9F69A"/>
    <w:rsid w:val="2D046B7D"/>
    <w:rsid w:val="3712713B"/>
    <w:rsid w:val="399B41CF"/>
    <w:rsid w:val="3A6FD040"/>
    <w:rsid w:val="3FDBC7EE"/>
    <w:rsid w:val="47396429"/>
    <w:rsid w:val="48CF3EE9"/>
    <w:rsid w:val="494810F2"/>
    <w:rsid w:val="4E763BD9"/>
    <w:rsid w:val="500A74BA"/>
    <w:rsid w:val="543E6429"/>
    <w:rsid w:val="54E67898"/>
    <w:rsid w:val="5B636E94"/>
    <w:rsid w:val="5D7E3E62"/>
    <w:rsid w:val="5E16789F"/>
    <w:rsid w:val="610571BB"/>
    <w:rsid w:val="624F5980"/>
    <w:rsid w:val="69344C1E"/>
    <w:rsid w:val="70223A22"/>
    <w:rsid w:val="7058186A"/>
    <w:rsid w:val="724461A9"/>
    <w:rsid w:val="72FF82B0"/>
    <w:rsid w:val="77DFC54B"/>
    <w:rsid w:val="799FD39A"/>
    <w:rsid w:val="7DFB63A9"/>
    <w:rsid w:val="7DFF9293"/>
    <w:rsid w:val="7EF5E6AB"/>
    <w:rsid w:val="7FF65B07"/>
    <w:rsid w:val="9FDBE1DF"/>
    <w:rsid w:val="BA6DE477"/>
    <w:rsid w:val="BD443E4C"/>
    <w:rsid w:val="BEBBED84"/>
    <w:rsid w:val="C7FBB803"/>
    <w:rsid w:val="CFD7B82B"/>
    <w:rsid w:val="DDBF4ED3"/>
    <w:rsid w:val="E5FF0F9C"/>
    <w:rsid w:val="EC7B7EE4"/>
    <w:rsid w:val="F5B7CB88"/>
    <w:rsid w:val="F65C2853"/>
    <w:rsid w:val="F77CE6D0"/>
    <w:rsid w:val="F973B919"/>
    <w:rsid w:val="F9BC20C5"/>
    <w:rsid w:val="FF7F7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unhideWhenUsed/>
    <w:qFormat/>
    <w:uiPriority w:val="39"/>
  </w:style>
  <w:style w:type="paragraph" w:styleId="7">
    <w:name w:val="Normal (Web)"/>
    <w:basedOn w:val="1"/>
    <w:unhideWhenUsed/>
    <w:qFormat/>
    <w:uiPriority w:val="0"/>
    <w:pPr>
      <w:widowControl/>
      <w:suppressAutoHyphens w:val="0"/>
      <w:spacing w:before="100" w:beforeAutospacing="1" w:after="100" w:afterAutospacing="1"/>
      <w:jc w:val="left"/>
    </w:pPr>
    <w:rPr>
      <w:rFonts w:ascii="宋体" w:hAnsi="宋体" w:cs="宋体"/>
      <w:kern w:val="0"/>
      <w:sz w:val="24"/>
    </w:rPr>
  </w:style>
  <w:style w:type="paragraph" w:customStyle="1" w:styleId="10">
    <w:name w:val="WPSOffice手动目录 1"/>
    <w:qFormat/>
    <w:uiPriority w:val="0"/>
    <w:rPr>
      <w:rFonts w:ascii="Calibri" w:hAnsi="Calibri" w:eastAsia="宋体" w:cs="Times New Roman"/>
      <w:lang w:val="en-US" w:eastAsia="zh-CN" w:bidi="ar-SA"/>
    </w:rPr>
  </w:style>
  <w:style w:type="paragraph" w:customStyle="1" w:styleId="11">
    <w:name w:val="彩色列表 - 强调文字颜色 11"/>
    <w:basedOn w:val="1"/>
    <w:qFormat/>
    <w:uiPriority w:val="34"/>
    <w:pPr>
      <w:ind w:firstLine="420" w:firstLineChars="200"/>
    </w:pPr>
    <w:rPr>
      <w:rFonts w:cs="宋体"/>
      <w:szCs w:val="22"/>
    </w:rPr>
  </w:style>
  <w:style w:type="character" w:customStyle="1" w:styleId="12">
    <w:name w:val="批注框文本 Char"/>
    <w:basedOn w:val="9"/>
    <w:link w:val="3"/>
    <w:qFormat/>
    <w:uiPriority w:val="0"/>
    <w:rPr>
      <w:kern w:val="2"/>
      <w:sz w:val="18"/>
      <w:szCs w:val="18"/>
    </w:rPr>
  </w:style>
  <w:style w:type="character" w:customStyle="1" w:styleId="13">
    <w:name w:val="font4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6C9C47-FC2C-41D5-B583-9A7C7E3325F8}">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2015</Words>
  <Characters>2160</Characters>
  <Lines>14</Lines>
  <Paragraphs>4</Paragraphs>
  <TotalTime>2</TotalTime>
  <ScaleCrop>false</ScaleCrop>
  <LinksUpToDate>false</LinksUpToDate>
  <CharactersWithSpaces>2165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2025-04-18T10:32:00Z</dcterms:created>
  <dc:creator>闫慧芳:拟稿人</dc:creator>
  <cp:lastModifiedBy>丁国平</cp:lastModifiedBy>
  <cp:lastPrinted>2026-08-10T14:13:18Z</cp:lastPrinted>
  <dcterms:modified xsi:type="dcterms:W3CDTF">2026-08-10T14:13:22Z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14D1C1B9BB194AE89B3EE7D4E41FC885_13</vt:lpwstr>
  </property>
  <property fmtid="{D5CDD505-2E9C-101B-9397-08002B2CF9AE}" pid="3" name="KSOProductBuildVer">
    <vt:lpwstr>2052-12.1.2.24730</vt:lpwstr>
  </property>
  <property fmtid="{D5CDD505-2E9C-101B-9397-08002B2CF9AE}" pid="4" name="KSOTemplateDocerSaveRecord">
    <vt:lpwstr>eyJoZGlkIjoiZWYxZDE0NDc0ZTkzMjZmZDI4ODZmMDI0MmI3NjRjNWIiLCJ1c2VySWQiOiIyMDYyODY4OTQifQ==</vt:lpwstr>
  </property>
</Properties>
</file>